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B6" w:rsidRDefault="001A0CB6" w:rsidP="001A0CB6">
      <w:pPr>
        <w:pStyle w:val="a5"/>
        <w:spacing w:before="5"/>
        <w:rPr>
          <w:rFonts w:ascii="黑体" w:eastAsia="黑体" w:hAnsi="黑体" w:hint="eastAsia"/>
          <w:szCs w:val="32"/>
        </w:rPr>
      </w:pPr>
      <w:r w:rsidRPr="009F72A0">
        <w:rPr>
          <w:rFonts w:ascii="黑体" w:eastAsia="黑体" w:hAnsi="黑体" w:hint="eastAsia"/>
          <w:szCs w:val="32"/>
        </w:rPr>
        <w:t>附件</w:t>
      </w:r>
    </w:p>
    <w:p w:rsidR="001A0CB6" w:rsidRPr="00A47B83" w:rsidRDefault="001A0CB6" w:rsidP="001A0CB6">
      <w:pPr>
        <w:pStyle w:val="a5"/>
        <w:spacing w:before="5"/>
        <w:jc w:val="center"/>
        <w:rPr>
          <w:rFonts w:ascii="黑体" w:eastAsia="黑体" w:hAnsi="黑体" w:hint="eastAsia"/>
          <w:sz w:val="44"/>
          <w:szCs w:val="32"/>
        </w:rPr>
      </w:pPr>
      <w:r w:rsidRPr="00A47B83">
        <w:rPr>
          <w:rFonts w:ascii="黑体" w:eastAsia="黑体" w:hAnsi="黑体" w:hint="eastAsia"/>
          <w:sz w:val="44"/>
          <w:szCs w:val="32"/>
        </w:rPr>
        <w:t>高标准农田建设情况评价表</w:t>
      </w:r>
    </w:p>
    <w:tbl>
      <w:tblPr>
        <w:tblW w:w="5320" w:type="pct"/>
        <w:jc w:val="center"/>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425"/>
        <w:gridCol w:w="1277"/>
        <w:gridCol w:w="567"/>
        <w:gridCol w:w="7539"/>
        <w:gridCol w:w="567"/>
        <w:gridCol w:w="4304"/>
      </w:tblGrid>
      <w:tr w:rsidR="001A0CB6" w:rsidRPr="0008269C" w:rsidTr="00B732CB">
        <w:trPr>
          <w:trHeight w:val="459"/>
          <w:jc w:val="center"/>
        </w:trPr>
        <w:tc>
          <w:tcPr>
            <w:tcW w:w="145" w:type="pct"/>
            <w:vAlign w:val="center"/>
          </w:tcPr>
          <w:p w:rsidR="001A0CB6" w:rsidRPr="00A47B83" w:rsidRDefault="001A0CB6" w:rsidP="00B732CB">
            <w:pPr>
              <w:pStyle w:val="TableParagraph"/>
              <w:jc w:val="center"/>
              <w:rPr>
                <w:rFonts w:ascii="黑体" w:eastAsia="黑体"/>
                <w:sz w:val="15"/>
              </w:rPr>
            </w:pPr>
            <w:r w:rsidRPr="00A47B83">
              <w:rPr>
                <w:rFonts w:ascii="黑体" w:eastAsia="黑体" w:hint="eastAsia"/>
                <w:sz w:val="15"/>
              </w:rPr>
              <w:t>序号</w:t>
            </w:r>
          </w:p>
        </w:tc>
        <w:tc>
          <w:tcPr>
            <w:tcW w:w="435" w:type="pct"/>
            <w:vAlign w:val="center"/>
          </w:tcPr>
          <w:p w:rsidR="001A0CB6" w:rsidRPr="00A47B83" w:rsidRDefault="001A0CB6" w:rsidP="00B732CB">
            <w:pPr>
              <w:pStyle w:val="TableParagraph"/>
              <w:jc w:val="center"/>
              <w:rPr>
                <w:rFonts w:ascii="黑体" w:eastAsia="黑体"/>
                <w:sz w:val="15"/>
              </w:rPr>
            </w:pPr>
            <w:r w:rsidRPr="00A47B83">
              <w:rPr>
                <w:rFonts w:ascii="黑体" w:eastAsia="黑体" w:hint="eastAsia"/>
                <w:sz w:val="15"/>
              </w:rPr>
              <w:t>指标</w:t>
            </w:r>
          </w:p>
        </w:tc>
        <w:tc>
          <w:tcPr>
            <w:tcW w:w="193" w:type="pct"/>
            <w:vAlign w:val="center"/>
          </w:tcPr>
          <w:p w:rsidR="001A0CB6" w:rsidRPr="00A47B83" w:rsidRDefault="001A0CB6" w:rsidP="00B732CB">
            <w:pPr>
              <w:pStyle w:val="TableParagraph"/>
              <w:jc w:val="center"/>
              <w:rPr>
                <w:rFonts w:ascii="黑体" w:eastAsia="黑体"/>
                <w:sz w:val="15"/>
              </w:rPr>
            </w:pPr>
            <w:r w:rsidRPr="00A47B83">
              <w:rPr>
                <w:rFonts w:ascii="黑体" w:eastAsia="黑体" w:hint="eastAsia"/>
                <w:sz w:val="15"/>
              </w:rPr>
              <w:t>分值</w:t>
            </w:r>
          </w:p>
        </w:tc>
        <w:tc>
          <w:tcPr>
            <w:tcW w:w="2568" w:type="pct"/>
            <w:vAlign w:val="center"/>
          </w:tcPr>
          <w:p w:rsidR="001A0CB6" w:rsidRPr="00A47B83" w:rsidRDefault="001A0CB6" w:rsidP="00B732CB">
            <w:pPr>
              <w:pStyle w:val="TableParagraph"/>
              <w:jc w:val="center"/>
              <w:rPr>
                <w:rFonts w:ascii="黑体" w:eastAsia="黑体"/>
                <w:sz w:val="15"/>
              </w:rPr>
            </w:pPr>
            <w:r w:rsidRPr="00A47B83">
              <w:rPr>
                <w:rFonts w:ascii="黑体" w:eastAsia="黑体" w:hint="eastAsia"/>
                <w:sz w:val="15"/>
              </w:rPr>
              <w:t>评分标准</w:t>
            </w:r>
          </w:p>
        </w:tc>
        <w:tc>
          <w:tcPr>
            <w:tcW w:w="193" w:type="pct"/>
            <w:vAlign w:val="center"/>
          </w:tcPr>
          <w:p w:rsidR="001A0CB6" w:rsidRPr="00A47B83" w:rsidRDefault="001A0CB6" w:rsidP="00B732CB">
            <w:pPr>
              <w:pStyle w:val="TableParagraph"/>
              <w:jc w:val="center"/>
              <w:rPr>
                <w:rFonts w:ascii="黑体" w:eastAsia="黑体"/>
                <w:sz w:val="15"/>
              </w:rPr>
            </w:pPr>
            <w:r w:rsidRPr="00A47B83">
              <w:rPr>
                <w:rFonts w:ascii="黑体" w:eastAsia="黑体" w:hint="eastAsia"/>
                <w:sz w:val="15"/>
              </w:rPr>
              <w:t>评分</w:t>
            </w:r>
          </w:p>
        </w:tc>
        <w:tc>
          <w:tcPr>
            <w:tcW w:w="1466" w:type="pct"/>
            <w:vAlign w:val="center"/>
          </w:tcPr>
          <w:p w:rsidR="001A0CB6" w:rsidRPr="00A47B83" w:rsidRDefault="001A0CB6" w:rsidP="00B732CB">
            <w:pPr>
              <w:pStyle w:val="TableParagraph"/>
              <w:jc w:val="center"/>
              <w:rPr>
                <w:rFonts w:ascii="黑体" w:eastAsia="黑体"/>
                <w:sz w:val="15"/>
              </w:rPr>
            </w:pPr>
            <w:r w:rsidRPr="00A47B83">
              <w:rPr>
                <w:rFonts w:ascii="黑体" w:eastAsia="黑体" w:hint="eastAsia"/>
                <w:sz w:val="15"/>
              </w:rPr>
              <w:t>评分依据</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w w:val="102"/>
                <w:sz w:val="13"/>
              </w:rPr>
              <w:t>1</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建设任务完成情况</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20</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sz w:val="13"/>
                <w:szCs w:val="13"/>
              </w:rPr>
              <w:t>建成的高标准农田面积（含高效节水灌溉面积，下同）不低于年度任务，得20分；建成面积低于年度任务，</w:t>
            </w:r>
            <w:r w:rsidRPr="00A47B83">
              <w:rPr>
                <w:rFonts w:ascii="仿宋_GB2312" w:eastAsia="仿宋_GB2312" w:hint="eastAsia"/>
                <w:w w:val="105"/>
                <w:sz w:val="13"/>
                <w:szCs w:val="13"/>
              </w:rPr>
              <w:t>每减少1%，扣0.5分，扣完为止。</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建设任务是指省级下达的高标准农田建设任务清单中明确的</w:t>
            </w:r>
            <w:r w:rsidRPr="00A47B83">
              <w:rPr>
                <w:rFonts w:ascii="仿宋_GB2312" w:eastAsia="仿宋_GB2312" w:hint="eastAsia"/>
                <w:w w:val="105"/>
                <w:sz w:val="13"/>
                <w:szCs w:val="13"/>
                <w:lang w:val="en-US"/>
              </w:rPr>
              <w:t>年度</w:t>
            </w:r>
            <w:r w:rsidRPr="00A47B83">
              <w:rPr>
                <w:rFonts w:ascii="仿宋_GB2312" w:eastAsia="仿宋_GB2312" w:hint="eastAsia"/>
                <w:w w:val="105"/>
                <w:sz w:val="13"/>
                <w:szCs w:val="13"/>
              </w:rPr>
              <w:t>任务。</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w w:val="102"/>
                <w:sz w:val="13"/>
              </w:rPr>
              <w:t>2</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工程质量</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lang w:val="en-US"/>
              </w:rPr>
            </w:pPr>
            <w:r w:rsidRPr="00A47B83">
              <w:rPr>
                <w:rFonts w:ascii="仿宋_GB2312" w:eastAsia="仿宋_GB2312" w:hint="eastAsia"/>
                <w:w w:val="102"/>
                <w:sz w:val="13"/>
                <w:szCs w:val="13"/>
                <w:lang w:val="en-US"/>
              </w:rPr>
              <w:t>10</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sz w:val="13"/>
                <w:szCs w:val="13"/>
              </w:rPr>
              <w:t>工程建设质量达标，得</w:t>
            </w:r>
            <w:r w:rsidRPr="00A47B83">
              <w:rPr>
                <w:rFonts w:ascii="仿宋_GB2312" w:eastAsia="仿宋_GB2312" w:hint="eastAsia"/>
                <w:sz w:val="13"/>
                <w:szCs w:val="13"/>
                <w:lang w:val="en-US"/>
              </w:rPr>
              <w:t>10</w:t>
            </w:r>
            <w:r w:rsidRPr="00A47B83">
              <w:rPr>
                <w:rFonts w:ascii="仿宋_GB2312" w:eastAsia="仿宋_GB2312" w:hint="eastAsia"/>
                <w:sz w:val="13"/>
                <w:szCs w:val="13"/>
              </w:rPr>
              <w:t>分。对土地平整工程、土壤改良工程、灌溉与排水工程、田间道路工程、农田防护与</w:t>
            </w:r>
            <w:r w:rsidRPr="00A47B83">
              <w:rPr>
                <w:rFonts w:ascii="仿宋_GB2312" w:eastAsia="仿宋_GB2312" w:hint="eastAsia"/>
                <w:w w:val="105"/>
                <w:sz w:val="13"/>
                <w:szCs w:val="13"/>
              </w:rPr>
              <w:t>生态环境保持工程、农田输配电工程等工程，每发现一项工程建设质量不达标，扣1分，扣完为止。</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有关部门检测报告、验收结论、</w:t>
            </w:r>
            <w:r w:rsidRPr="00A47B83">
              <w:rPr>
                <w:rFonts w:ascii="仿宋_GB2312" w:eastAsia="仿宋_GB2312" w:hint="eastAsia"/>
                <w:w w:val="105"/>
                <w:sz w:val="13"/>
                <w:szCs w:val="13"/>
                <w:lang w:val="en-US"/>
              </w:rPr>
              <w:t>实地</w:t>
            </w:r>
            <w:r w:rsidRPr="00A47B83">
              <w:rPr>
                <w:rFonts w:ascii="仿宋_GB2312" w:eastAsia="仿宋_GB2312" w:hint="eastAsia"/>
                <w:w w:val="105"/>
                <w:sz w:val="13"/>
                <w:szCs w:val="13"/>
              </w:rPr>
              <w:t>抽查等。</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w w:val="102"/>
                <w:sz w:val="13"/>
              </w:rPr>
              <w:t>3</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耕地质量</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2"/>
                <w:sz w:val="13"/>
                <w:szCs w:val="13"/>
              </w:rPr>
              <w:t>5</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sz w:val="13"/>
                <w:szCs w:val="13"/>
              </w:rPr>
              <w:t>在高标准农田建设区采取改良土壤、培肥地力、保水保肥、控污修复等单一措施或综合措施，使建设后耕地质量</w:t>
            </w:r>
            <w:r w:rsidRPr="00A47B83">
              <w:rPr>
                <w:rFonts w:ascii="仿宋_GB2312" w:eastAsia="仿宋_GB2312" w:hint="eastAsia"/>
                <w:w w:val="105"/>
                <w:sz w:val="13"/>
                <w:szCs w:val="13"/>
              </w:rPr>
              <w:t>等级有所提升，措施覆盖面积达90%及以上得5分；不足90%时，每下降15%，扣1分，扣完为止。</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sz w:val="13"/>
                <w:szCs w:val="13"/>
              </w:rPr>
              <w:t>自查报告和抽查报告，以及相关技术方案、实施方案等；按照《耕地质量等级》（GB/T33469-2016）评价的建设前后耕地质量等级变</w:t>
            </w:r>
            <w:r w:rsidRPr="00A47B83">
              <w:rPr>
                <w:rFonts w:ascii="仿宋_GB2312" w:eastAsia="仿宋_GB2312" w:hint="eastAsia"/>
                <w:w w:val="105"/>
                <w:sz w:val="13"/>
                <w:szCs w:val="13"/>
              </w:rPr>
              <w:t>化结果。</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w w:val="102"/>
                <w:sz w:val="13"/>
                <w:lang w:val="en-US"/>
              </w:rPr>
            </w:pPr>
            <w:r w:rsidRPr="00A47B83">
              <w:rPr>
                <w:rFonts w:ascii="仿宋_GB2312" w:eastAsia="仿宋_GB2312" w:hint="eastAsia"/>
                <w:w w:val="102"/>
                <w:sz w:val="13"/>
                <w:lang w:val="en-US"/>
              </w:rPr>
              <w:t>4</w:t>
            </w:r>
          </w:p>
        </w:tc>
        <w:tc>
          <w:tcPr>
            <w:tcW w:w="435" w:type="pct"/>
            <w:vAlign w:val="center"/>
          </w:tcPr>
          <w:p w:rsidR="001A0CB6" w:rsidRPr="00A47B83" w:rsidRDefault="001A0CB6" w:rsidP="00B732CB">
            <w:pPr>
              <w:pStyle w:val="TableParagraph"/>
              <w:jc w:val="center"/>
              <w:rPr>
                <w:rFonts w:ascii="仿宋_GB2312" w:eastAsia="仿宋_GB2312" w:hint="eastAsia"/>
                <w:w w:val="105"/>
                <w:sz w:val="13"/>
                <w:szCs w:val="13"/>
                <w:lang w:val="en-US"/>
              </w:rPr>
            </w:pPr>
            <w:r w:rsidRPr="00A47B83">
              <w:rPr>
                <w:rFonts w:ascii="仿宋_GB2312" w:eastAsia="仿宋_GB2312" w:hint="eastAsia"/>
                <w:w w:val="105"/>
                <w:sz w:val="13"/>
                <w:szCs w:val="13"/>
                <w:lang w:val="en-US"/>
              </w:rPr>
              <w:t>实施管理</w:t>
            </w:r>
          </w:p>
        </w:tc>
        <w:tc>
          <w:tcPr>
            <w:tcW w:w="193" w:type="pct"/>
            <w:vAlign w:val="center"/>
          </w:tcPr>
          <w:p w:rsidR="001A0CB6" w:rsidRPr="00A47B83" w:rsidRDefault="001A0CB6" w:rsidP="00B732CB">
            <w:pPr>
              <w:pStyle w:val="TableParagraph"/>
              <w:jc w:val="center"/>
              <w:rPr>
                <w:rFonts w:ascii="仿宋_GB2312" w:eastAsia="仿宋_GB2312" w:hint="eastAsia"/>
                <w:w w:val="102"/>
                <w:sz w:val="13"/>
                <w:szCs w:val="13"/>
                <w:lang w:val="en-US"/>
              </w:rPr>
            </w:pPr>
            <w:r w:rsidRPr="00A47B83">
              <w:rPr>
                <w:rFonts w:ascii="仿宋_GB2312" w:eastAsia="仿宋_GB2312" w:hint="eastAsia"/>
                <w:w w:val="102"/>
                <w:sz w:val="13"/>
                <w:szCs w:val="13"/>
                <w:lang w:val="en-US"/>
              </w:rPr>
              <w:t>4</w:t>
            </w:r>
          </w:p>
        </w:tc>
        <w:tc>
          <w:tcPr>
            <w:tcW w:w="2568" w:type="pct"/>
            <w:vAlign w:val="center"/>
          </w:tcPr>
          <w:p w:rsidR="001A0CB6" w:rsidRPr="00A47B83" w:rsidRDefault="001A0CB6" w:rsidP="00B732CB">
            <w:pPr>
              <w:pStyle w:val="TableParagraph"/>
              <w:jc w:val="center"/>
              <w:rPr>
                <w:rFonts w:ascii="仿宋_GB2312" w:eastAsia="仿宋_GB2312" w:hint="eastAsia"/>
                <w:w w:val="105"/>
                <w:sz w:val="13"/>
                <w:szCs w:val="13"/>
                <w:lang w:val="en-US"/>
              </w:rPr>
            </w:pPr>
            <w:r w:rsidRPr="00A47B83">
              <w:rPr>
                <w:rFonts w:ascii="仿宋_GB2312" w:eastAsia="仿宋_GB2312" w:hint="eastAsia"/>
                <w:w w:val="105"/>
                <w:sz w:val="13"/>
                <w:szCs w:val="13"/>
                <w:lang w:val="en-US"/>
              </w:rPr>
              <w:t>审批、公示符合相关规定，得1分，否则不得分；政府采购、合同管理、工程监理等符合规定，得2分，否则不得分；竣工验收后及时办理资产交付手续，设立统一规范的公示标牌和标志，得1分，否则不得分。</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w w:val="105"/>
                <w:sz w:val="13"/>
                <w:szCs w:val="13"/>
                <w:lang w:val="en-US"/>
              </w:rPr>
            </w:pPr>
            <w:r w:rsidRPr="00A47B83">
              <w:rPr>
                <w:rFonts w:ascii="仿宋_GB2312" w:eastAsia="仿宋_GB2312" w:hint="eastAsia"/>
                <w:w w:val="105"/>
                <w:sz w:val="13"/>
                <w:szCs w:val="13"/>
                <w:lang w:val="en-US"/>
              </w:rPr>
              <w:t>审批文件、合同、门户网站公示、设立标志等。</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w w:val="102"/>
                <w:sz w:val="13"/>
                <w:lang w:val="en-US"/>
              </w:rPr>
              <w:t>5</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建后管护利用</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2"/>
                <w:sz w:val="13"/>
                <w:szCs w:val="13"/>
              </w:rPr>
              <w:t>3</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lang w:val="en-US"/>
              </w:rPr>
            </w:pPr>
            <w:r w:rsidRPr="00A47B83">
              <w:rPr>
                <w:rFonts w:ascii="仿宋_GB2312" w:eastAsia="仿宋_GB2312" w:hint="eastAsia"/>
                <w:w w:val="105"/>
                <w:sz w:val="13"/>
                <w:szCs w:val="13"/>
              </w:rPr>
              <w:t>制定工程管护制度、建立长效管护机制、落实工程管护责任</w:t>
            </w:r>
            <w:r w:rsidRPr="00A47B83">
              <w:rPr>
                <w:rFonts w:ascii="仿宋_GB2312" w:eastAsia="仿宋_GB2312" w:hint="eastAsia"/>
                <w:w w:val="105"/>
                <w:sz w:val="13"/>
                <w:szCs w:val="13"/>
                <w:lang w:val="en-US"/>
              </w:rPr>
              <w:t>和经费</w:t>
            </w:r>
            <w:r w:rsidRPr="00A47B83">
              <w:rPr>
                <w:rFonts w:ascii="仿宋_GB2312" w:eastAsia="仿宋_GB2312" w:hint="eastAsia"/>
                <w:w w:val="105"/>
                <w:sz w:val="13"/>
                <w:szCs w:val="13"/>
              </w:rPr>
              <w:t>，得3分；</w:t>
            </w:r>
            <w:r w:rsidRPr="00A47B83">
              <w:rPr>
                <w:rFonts w:ascii="仿宋_GB2312" w:eastAsia="仿宋_GB2312" w:hint="eastAsia"/>
                <w:w w:val="105"/>
                <w:sz w:val="13"/>
                <w:szCs w:val="13"/>
                <w:lang w:val="en-US"/>
              </w:rPr>
              <w:t>缺一项扣1分，扣完为止。</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制定的管护制度、措施等。</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w w:val="102"/>
                <w:sz w:val="13"/>
                <w:lang w:val="en-US"/>
              </w:rPr>
              <w:t>6</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组织和制度保障</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2"/>
                <w:sz w:val="13"/>
                <w:szCs w:val="13"/>
                <w:lang w:val="en-US"/>
              </w:rPr>
              <w:t>6</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高标准农田建设工作机制健全，制度完善、管理规范，得</w:t>
            </w:r>
            <w:r w:rsidRPr="00A47B83">
              <w:rPr>
                <w:rFonts w:ascii="仿宋_GB2312" w:eastAsia="仿宋_GB2312" w:hint="eastAsia"/>
                <w:w w:val="105"/>
                <w:sz w:val="13"/>
                <w:szCs w:val="13"/>
                <w:lang w:val="en-US"/>
              </w:rPr>
              <w:t>6</w:t>
            </w:r>
            <w:r w:rsidRPr="00A47B83">
              <w:rPr>
                <w:rFonts w:ascii="仿宋_GB2312" w:eastAsia="仿宋_GB2312" w:hint="eastAsia"/>
                <w:w w:val="105"/>
                <w:sz w:val="13"/>
                <w:szCs w:val="13"/>
              </w:rPr>
              <w:t>分，每一项不达标，扣</w:t>
            </w:r>
            <w:r w:rsidRPr="00A47B83">
              <w:rPr>
                <w:rFonts w:ascii="仿宋_GB2312" w:eastAsia="仿宋_GB2312" w:hint="eastAsia"/>
                <w:w w:val="105"/>
                <w:sz w:val="13"/>
                <w:szCs w:val="13"/>
                <w:lang w:val="en-US"/>
              </w:rPr>
              <w:t>3</w:t>
            </w:r>
            <w:r w:rsidRPr="00A47B83">
              <w:rPr>
                <w:rFonts w:ascii="仿宋_GB2312" w:eastAsia="仿宋_GB2312" w:hint="eastAsia"/>
                <w:w w:val="105"/>
                <w:sz w:val="13"/>
                <w:szCs w:val="13"/>
              </w:rPr>
              <w:t>分。</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制定的工作机制、管理制度、文件要求等。</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w w:val="102"/>
                <w:sz w:val="13"/>
                <w:lang w:val="en-US"/>
              </w:rPr>
              <w:t>7</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上图入库</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2"/>
                <w:sz w:val="13"/>
                <w:szCs w:val="13"/>
              </w:rPr>
              <w:t>5</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上图入库的高标准农田建成总规模占实际建成总规模100%，得5分；每减少10%，扣1分，扣完为止。</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lang w:val="en-US"/>
              </w:rPr>
              <w:t>监管</w:t>
            </w:r>
            <w:r w:rsidRPr="00A47B83">
              <w:rPr>
                <w:rFonts w:ascii="仿宋_GB2312" w:eastAsia="仿宋_GB2312" w:hint="eastAsia"/>
                <w:w w:val="105"/>
                <w:sz w:val="13"/>
                <w:szCs w:val="13"/>
              </w:rPr>
              <w:t>信息系统填报情况。</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w w:val="102"/>
                <w:sz w:val="13"/>
                <w:lang w:val="en-US"/>
              </w:rPr>
              <w:t>8</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新增耕地</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2"/>
                <w:sz w:val="13"/>
                <w:szCs w:val="13"/>
                <w:lang w:val="en-US"/>
              </w:rPr>
              <w:t>2</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通过开展高标准农田建设有新增耕地面积,得</w:t>
            </w:r>
            <w:r w:rsidRPr="00A47B83">
              <w:rPr>
                <w:rFonts w:ascii="仿宋_GB2312" w:eastAsia="仿宋_GB2312" w:hint="eastAsia"/>
                <w:w w:val="105"/>
                <w:sz w:val="13"/>
                <w:szCs w:val="13"/>
                <w:lang w:val="en-US"/>
              </w:rPr>
              <w:t>2</w:t>
            </w:r>
            <w:r w:rsidRPr="00A47B83">
              <w:rPr>
                <w:rFonts w:ascii="仿宋_GB2312" w:eastAsia="仿宋_GB2312" w:hint="eastAsia"/>
                <w:w w:val="105"/>
                <w:sz w:val="13"/>
                <w:szCs w:val="13"/>
              </w:rPr>
              <w:t>分；否则不得分。</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对新增耕地的核定结果及佐证材料。</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w w:val="102"/>
                <w:sz w:val="13"/>
                <w:lang w:val="en-US"/>
              </w:rPr>
              <w:t>9</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机制创新</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2"/>
                <w:sz w:val="13"/>
                <w:szCs w:val="13"/>
              </w:rPr>
              <w:t>4</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sz w:val="13"/>
                <w:szCs w:val="13"/>
              </w:rPr>
              <w:t>开展高标准农田建设管理机制创新，具有一定影响力且获得市委、市政府或省农业农村厅认可，得2分；否则</w:t>
            </w:r>
            <w:r w:rsidRPr="00A47B83">
              <w:rPr>
                <w:rFonts w:ascii="仿宋_GB2312" w:eastAsia="仿宋_GB2312" w:hint="eastAsia"/>
                <w:w w:val="105"/>
                <w:sz w:val="13"/>
                <w:szCs w:val="13"/>
              </w:rPr>
              <w:t>不得分。主动开展农业农村厅布置的高标准农田建设试点工作，且成效突出，得2分，否则不得分。</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相关佐证材料及农业农村厅日常管理掌握的相关情况。</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lang w:val="en-US"/>
              </w:rPr>
            </w:pPr>
            <w:r w:rsidRPr="00A47B83">
              <w:rPr>
                <w:rFonts w:ascii="仿宋_GB2312" w:eastAsia="仿宋_GB2312" w:hint="eastAsia"/>
                <w:w w:val="102"/>
                <w:sz w:val="13"/>
                <w:lang w:val="en-US"/>
              </w:rPr>
              <w:t>10</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财政资金投入</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15</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sz w:val="13"/>
                <w:szCs w:val="13"/>
              </w:rPr>
              <w:t xml:space="preserve">有稳定的地方财政资金来源，足额承担地方财政应分担的投入并用于高标准农田建设，得15分；每减少10%， </w:t>
            </w:r>
            <w:r w:rsidRPr="00A47B83">
              <w:rPr>
                <w:rFonts w:ascii="仿宋_GB2312" w:eastAsia="仿宋_GB2312" w:hint="eastAsia"/>
                <w:w w:val="105"/>
                <w:sz w:val="13"/>
                <w:szCs w:val="13"/>
              </w:rPr>
              <w:t>扣1.5分，扣完为止。</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地方财政相关拨款文件。</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sz w:val="13"/>
              </w:rPr>
              <w:t>1</w:t>
            </w:r>
            <w:r w:rsidRPr="00A47B83">
              <w:rPr>
                <w:rFonts w:ascii="仿宋_GB2312" w:eastAsia="仿宋_GB2312" w:hint="eastAsia"/>
                <w:sz w:val="13"/>
                <w:lang w:val="en-US"/>
              </w:rPr>
              <w:t>1</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社会资金投入</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2"/>
                <w:sz w:val="13"/>
                <w:szCs w:val="13"/>
                <w:lang w:val="en-US"/>
              </w:rPr>
              <w:t>3</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sz w:val="13"/>
                <w:szCs w:val="13"/>
              </w:rPr>
              <w:t>创新投融资模式，积极鼓励和引导受益农民或新型农业经营主体等投入高标准农田建设，得</w:t>
            </w:r>
            <w:r w:rsidRPr="00A47B83">
              <w:rPr>
                <w:rFonts w:ascii="仿宋_GB2312" w:eastAsia="仿宋_GB2312" w:hint="eastAsia"/>
                <w:sz w:val="13"/>
                <w:szCs w:val="13"/>
                <w:lang w:val="en-US"/>
              </w:rPr>
              <w:t>3</w:t>
            </w:r>
            <w:r w:rsidRPr="00A47B83">
              <w:rPr>
                <w:rFonts w:ascii="仿宋_GB2312" w:eastAsia="仿宋_GB2312" w:hint="eastAsia"/>
                <w:sz w:val="13"/>
                <w:szCs w:val="13"/>
              </w:rPr>
              <w:t>分；否则不得分</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相关佐证材料和统计数据。</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lang w:val="en-US"/>
              </w:rPr>
            </w:pPr>
            <w:r w:rsidRPr="00A47B83">
              <w:rPr>
                <w:rFonts w:ascii="仿宋_GB2312" w:eastAsia="仿宋_GB2312" w:hint="eastAsia"/>
                <w:sz w:val="13"/>
                <w:lang w:val="en-US"/>
              </w:rPr>
              <w:t>12</w:t>
            </w:r>
          </w:p>
        </w:tc>
        <w:tc>
          <w:tcPr>
            <w:tcW w:w="435" w:type="pct"/>
            <w:vAlign w:val="center"/>
          </w:tcPr>
          <w:p w:rsidR="001A0CB6" w:rsidRPr="00A47B83" w:rsidRDefault="001A0CB6" w:rsidP="00B732CB">
            <w:pPr>
              <w:pStyle w:val="TableParagraph"/>
              <w:jc w:val="center"/>
              <w:rPr>
                <w:rFonts w:ascii="仿宋_GB2312" w:eastAsia="仿宋_GB2312" w:hint="eastAsia"/>
                <w:w w:val="105"/>
                <w:sz w:val="13"/>
                <w:szCs w:val="13"/>
                <w:lang w:val="en-US"/>
              </w:rPr>
            </w:pPr>
            <w:r w:rsidRPr="00A47B83">
              <w:rPr>
                <w:rFonts w:ascii="仿宋_GB2312" w:eastAsia="仿宋_GB2312" w:hint="eastAsia"/>
                <w:w w:val="105"/>
                <w:sz w:val="13"/>
                <w:szCs w:val="13"/>
                <w:lang w:val="en-US"/>
              </w:rPr>
              <w:t>绩效目标</w:t>
            </w:r>
          </w:p>
        </w:tc>
        <w:tc>
          <w:tcPr>
            <w:tcW w:w="193" w:type="pct"/>
            <w:vAlign w:val="center"/>
          </w:tcPr>
          <w:p w:rsidR="001A0CB6" w:rsidRPr="00A47B83" w:rsidRDefault="001A0CB6" w:rsidP="00B732CB">
            <w:pPr>
              <w:pStyle w:val="TableParagraph"/>
              <w:jc w:val="center"/>
              <w:rPr>
                <w:rFonts w:ascii="仿宋_GB2312" w:eastAsia="仿宋_GB2312" w:hint="eastAsia"/>
                <w:w w:val="102"/>
                <w:sz w:val="13"/>
                <w:szCs w:val="13"/>
                <w:lang w:val="en-US"/>
              </w:rPr>
            </w:pPr>
            <w:r w:rsidRPr="00A47B83">
              <w:rPr>
                <w:rFonts w:ascii="仿宋_GB2312" w:eastAsia="仿宋_GB2312" w:hint="eastAsia"/>
                <w:w w:val="102"/>
                <w:sz w:val="13"/>
                <w:szCs w:val="13"/>
                <w:lang w:val="en-US"/>
              </w:rPr>
              <w:t>3</w:t>
            </w:r>
          </w:p>
        </w:tc>
        <w:tc>
          <w:tcPr>
            <w:tcW w:w="2568" w:type="pct"/>
            <w:vAlign w:val="center"/>
          </w:tcPr>
          <w:p w:rsidR="001A0CB6" w:rsidRPr="00A47B83" w:rsidRDefault="001A0CB6" w:rsidP="00B732CB">
            <w:pPr>
              <w:pStyle w:val="TableParagraph"/>
              <w:jc w:val="center"/>
              <w:rPr>
                <w:rFonts w:ascii="仿宋_GB2312" w:eastAsia="仿宋_GB2312" w:hint="eastAsia"/>
                <w:w w:val="105"/>
                <w:sz w:val="13"/>
                <w:szCs w:val="13"/>
                <w:lang w:val="en-US"/>
              </w:rPr>
            </w:pPr>
            <w:r w:rsidRPr="00A47B83">
              <w:rPr>
                <w:rFonts w:ascii="仿宋_GB2312" w:eastAsia="仿宋_GB2312" w:hint="eastAsia"/>
                <w:w w:val="105"/>
                <w:sz w:val="13"/>
                <w:szCs w:val="13"/>
                <w:lang w:val="en-US"/>
              </w:rPr>
              <w:t>结合实施区域特点，细化、设立的绩效目标与省级下达的绩效目标充分相关，逻辑清晰，得1分，否则不得分；开展绩效自评，得1分；否则不得分；达到设定绩效目标，得1分，否则不得分。</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w w:val="105"/>
                <w:sz w:val="13"/>
                <w:szCs w:val="13"/>
                <w:lang w:val="en-US"/>
              </w:rPr>
            </w:pPr>
            <w:r w:rsidRPr="00A47B83">
              <w:rPr>
                <w:rFonts w:ascii="仿宋_GB2312" w:eastAsia="仿宋_GB2312" w:hint="eastAsia"/>
                <w:w w:val="105"/>
                <w:sz w:val="13"/>
                <w:szCs w:val="13"/>
                <w:lang w:val="en-US"/>
              </w:rPr>
              <w:t>资金文件、绩效报告等。</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sz w:val="13"/>
              </w:rPr>
              <w:t>1</w:t>
            </w:r>
            <w:r w:rsidRPr="00A47B83">
              <w:rPr>
                <w:rFonts w:ascii="仿宋_GB2312" w:eastAsia="仿宋_GB2312" w:hint="eastAsia"/>
                <w:sz w:val="13"/>
                <w:lang w:val="en-US"/>
              </w:rPr>
              <w:t>3</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项目规划及储备</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2"/>
                <w:sz w:val="13"/>
                <w:szCs w:val="13"/>
              </w:rPr>
              <w:t>6</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lang w:val="en-US"/>
              </w:rPr>
              <w:t>制定有中长期规划，明确任务分解、区域布局等，得3分，否则不得分；依据规划建立项目库，得3分，项目库项目面积不足规划目标任务，按占比得分。</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高标准农田建设规划及相关佐证材料。</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sz w:val="13"/>
              </w:rPr>
              <w:t>1</w:t>
            </w:r>
            <w:r w:rsidRPr="00A47B83">
              <w:rPr>
                <w:rFonts w:ascii="仿宋_GB2312" w:eastAsia="仿宋_GB2312" w:hint="eastAsia"/>
                <w:sz w:val="13"/>
                <w:lang w:val="en-US"/>
              </w:rPr>
              <w:t>4</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年度任务分解</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sz w:val="13"/>
                <w:szCs w:val="13"/>
                <w:lang w:val="en-US"/>
              </w:rPr>
              <w:t>4</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sz w:val="13"/>
                <w:szCs w:val="13"/>
                <w:lang w:val="en-US"/>
              </w:rPr>
              <w:t>按时限</w:t>
            </w:r>
            <w:r w:rsidRPr="00A47B83">
              <w:rPr>
                <w:rFonts w:ascii="仿宋_GB2312" w:eastAsia="仿宋_GB2312" w:hint="eastAsia"/>
                <w:sz w:val="13"/>
                <w:szCs w:val="13"/>
              </w:rPr>
              <w:t>将建设任务落实到具体区域、</w:t>
            </w:r>
            <w:r w:rsidRPr="00A47B83">
              <w:rPr>
                <w:rFonts w:ascii="仿宋_GB2312" w:eastAsia="仿宋_GB2312" w:hint="eastAsia"/>
                <w:w w:val="105"/>
                <w:sz w:val="13"/>
                <w:szCs w:val="13"/>
              </w:rPr>
              <w:t>完成项目实施方案审批，得3分，</w:t>
            </w:r>
            <w:r w:rsidRPr="00A47B83">
              <w:rPr>
                <w:rFonts w:ascii="仿宋_GB2312" w:eastAsia="仿宋_GB2312" w:hint="eastAsia"/>
                <w:w w:val="105"/>
                <w:sz w:val="13"/>
                <w:szCs w:val="13"/>
                <w:lang w:val="en-US"/>
              </w:rPr>
              <w:t>没按时完成的，每一项扣2分。</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分解下达年度任务及项目计划文件。</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sz w:val="13"/>
              </w:rPr>
              <w:t>1</w:t>
            </w:r>
            <w:r w:rsidRPr="00A47B83">
              <w:rPr>
                <w:rFonts w:ascii="仿宋_GB2312" w:eastAsia="仿宋_GB2312" w:hint="eastAsia"/>
                <w:sz w:val="13"/>
                <w:lang w:val="en-US"/>
              </w:rPr>
              <w:t>5</w:t>
            </w:r>
          </w:p>
        </w:tc>
        <w:tc>
          <w:tcPr>
            <w:tcW w:w="435"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年度建设进度</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lang w:val="en-US"/>
              </w:rPr>
            </w:pPr>
            <w:r w:rsidRPr="00A47B83">
              <w:rPr>
                <w:rFonts w:ascii="仿宋_GB2312" w:eastAsia="仿宋_GB2312" w:hint="eastAsia"/>
                <w:w w:val="105"/>
                <w:sz w:val="13"/>
                <w:szCs w:val="13"/>
                <w:lang w:val="en-US"/>
              </w:rPr>
              <w:t>10</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sz w:val="13"/>
                <w:szCs w:val="13"/>
              </w:rPr>
              <w:t>及时组织项目招投标，得</w:t>
            </w:r>
            <w:r w:rsidRPr="00A47B83">
              <w:rPr>
                <w:rFonts w:ascii="仿宋_GB2312" w:eastAsia="仿宋_GB2312" w:hint="eastAsia"/>
                <w:sz w:val="13"/>
                <w:szCs w:val="13"/>
                <w:lang w:val="en-US"/>
              </w:rPr>
              <w:t>2</w:t>
            </w:r>
            <w:r w:rsidRPr="00A47B83">
              <w:rPr>
                <w:rFonts w:ascii="仿宋_GB2312" w:eastAsia="仿宋_GB2312" w:hint="eastAsia"/>
                <w:sz w:val="13"/>
                <w:szCs w:val="13"/>
              </w:rPr>
              <w:t>分，否则不得分；按照要求定期调度农田建设项目进度，得</w:t>
            </w:r>
            <w:r w:rsidRPr="00A47B83">
              <w:rPr>
                <w:rFonts w:ascii="仿宋_GB2312" w:eastAsia="仿宋_GB2312" w:hint="eastAsia"/>
                <w:sz w:val="13"/>
                <w:szCs w:val="13"/>
                <w:lang w:val="en-US"/>
              </w:rPr>
              <w:t>2</w:t>
            </w:r>
            <w:r w:rsidRPr="00A47B83">
              <w:rPr>
                <w:rFonts w:ascii="仿宋_GB2312" w:eastAsia="仿宋_GB2312" w:hint="eastAsia"/>
                <w:sz w:val="13"/>
                <w:szCs w:val="13"/>
              </w:rPr>
              <w:t>分；否则酌情扣分。当年开工建设的(含已建成的)高标准农田达到年度任务80%以上，得</w:t>
            </w:r>
            <w:r w:rsidRPr="00A47B83">
              <w:rPr>
                <w:rFonts w:ascii="仿宋_GB2312" w:eastAsia="仿宋_GB2312" w:hint="eastAsia"/>
                <w:sz w:val="13"/>
                <w:szCs w:val="13"/>
                <w:lang w:val="en-US"/>
              </w:rPr>
              <w:t>6</w:t>
            </w:r>
            <w:r w:rsidRPr="00A47B83">
              <w:rPr>
                <w:rFonts w:ascii="仿宋_GB2312" w:eastAsia="仿宋_GB2312" w:hint="eastAsia"/>
                <w:sz w:val="13"/>
                <w:szCs w:val="13"/>
              </w:rPr>
              <w:t>分；比例不足80%时，每减少5%，扣1分，</w:t>
            </w:r>
            <w:r w:rsidRPr="00A47B83">
              <w:rPr>
                <w:rFonts w:ascii="仿宋_GB2312" w:eastAsia="仿宋_GB2312" w:hint="eastAsia"/>
                <w:w w:val="105"/>
                <w:sz w:val="13"/>
                <w:szCs w:val="13"/>
              </w:rPr>
              <w:t>扣完为止。</w:t>
            </w: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szCs w:val="13"/>
              </w:rPr>
            </w:pPr>
            <w:r w:rsidRPr="00A47B83">
              <w:rPr>
                <w:rFonts w:ascii="仿宋_GB2312" w:eastAsia="仿宋_GB2312" w:hint="eastAsia"/>
                <w:w w:val="105"/>
                <w:sz w:val="13"/>
                <w:szCs w:val="13"/>
              </w:rPr>
              <w:t>以相关统计及日常监管</w:t>
            </w:r>
            <w:r w:rsidRPr="00A47B83">
              <w:rPr>
                <w:rFonts w:ascii="仿宋_GB2312" w:eastAsia="仿宋_GB2312" w:hint="eastAsia"/>
                <w:w w:val="105"/>
                <w:sz w:val="13"/>
                <w:szCs w:val="13"/>
                <w:lang w:val="en-US"/>
              </w:rPr>
              <w:t>系统</w:t>
            </w:r>
            <w:r w:rsidRPr="00A47B83">
              <w:rPr>
                <w:rFonts w:ascii="仿宋_GB2312" w:eastAsia="仿宋_GB2312" w:hint="eastAsia"/>
                <w:w w:val="105"/>
                <w:sz w:val="13"/>
                <w:szCs w:val="13"/>
              </w:rPr>
              <w:t>数据为依据。</w:t>
            </w: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lang w:val="en-US"/>
              </w:rPr>
            </w:pPr>
          </w:p>
        </w:tc>
        <w:tc>
          <w:tcPr>
            <w:tcW w:w="435" w:type="pct"/>
            <w:vAlign w:val="center"/>
          </w:tcPr>
          <w:p w:rsidR="001A0CB6" w:rsidRPr="00A47B83" w:rsidRDefault="001A0CB6" w:rsidP="00B732CB">
            <w:pPr>
              <w:pStyle w:val="TableParagraph"/>
              <w:jc w:val="center"/>
              <w:rPr>
                <w:rFonts w:ascii="仿宋_GB2312" w:eastAsia="仿宋_GB2312" w:hint="eastAsia"/>
                <w:w w:val="105"/>
                <w:sz w:val="13"/>
                <w:szCs w:val="13"/>
                <w:lang w:val="en-US"/>
              </w:rPr>
            </w:pPr>
            <w:r w:rsidRPr="00A47B83">
              <w:rPr>
                <w:rFonts w:ascii="仿宋_GB2312" w:eastAsia="仿宋_GB2312" w:hint="eastAsia"/>
                <w:sz w:val="13"/>
              </w:rPr>
              <w:t>合 计</w:t>
            </w:r>
          </w:p>
        </w:tc>
        <w:tc>
          <w:tcPr>
            <w:tcW w:w="193" w:type="pct"/>
            <w:vAlign w:val="center"/>
          </w:tcPr>
          <w:p w:rsidR="001A0CB6" w:rsidRPr="00A47B83" w:rsidRDefault="001A0CB6" w:rsidP="00B732CB">
            <w:pPr>
              <w:pStyle w:val="TableParagraph"/>
              <w:jc w:val="center"/>
              <w:rPr>
                <w:rFonts w:ascii="仿宋_GB2312" w:eastAsia="仿宋_GB2312" w:hint="eastAsia"/>
                <w:w w:val="105"/>
                <w:sz w:val="13"/>
                <w:szCs w:val="13"/>
                <w:lang w:val="en-US"/>
              </w:rPr>
            </w:pPr>
            <w:r w:rsidRPr="00A47B83">
              <w:rPr>
                <w:rFonts w:ascii="仿宋_GB2312" w:eastAsia="仿宋_GB2312" w:hint="eastAsia"/>
                <w:sz w:val="13"/>
                <w:lang w:val="en-US"/>
              </w:rPr>
              <w:t>100</w:t>
            </w:r>
          </w:p>
        </w:tc>
        <w:tc>
          <w:tcPr>
            <w:tcW w:w="2568" w:type="pct"/>
            <w:vAlign w:val="center"/>
          </w:tcPr>
          <w:p w:rsidR="001A0CB6" w:rsidRPr="00A47B83" w:rsidRDefault="001A0CB6" w:rsidP="00B732CB">
            <w:pPr>
              <w:pStyle w:val="TableParagraph"/>
              <w:jc w:val="center"/>
              <w:rPr>
                <w:rFonts w:ascii="仿宋_GB2312" w:eastAsia="仿宋_GB2312" w:hint="eastAsia"/>
                <w:sz w:val="13"/>
                <w:szCs w:val="13"/>
                <w:lang w:val="en-US"/>
              </w:rPr>
            </w:pPr>
          </w:p>
        </w:tc>
        <w:tc>
          <w:tcPr>
            <w:tcW w:w="193" w:type="pct"/>
            <w:vAlign w:val="center"/>
          </w:tcPr>
          <w:p w:rsidR="001A0CB6" w:rsidRPr="00A47B83" w:rsidRDefault="001A0CB6" w:rsidP="00B732CB">
            <w:pPr>
              <w:pStyle w:val="TableParagraph"/>
              <w:jc w:val="center"/>
              <w:rPr>
                <w:rFonts w:ascii="仿宋_GB2312" w:eastAsia="仿宋_GB2312" w:hint="eastAsia"/>
                <w:sz w:val="13"/>
                <w:szCs w:val="13"/>
              </w:rPr>
            </w:pPr>
          </w:p>
        </w:tc>
        <w:tc>
          <w:tcPr>
            <w:tcW w:w="1466" w:type="pct"/>
            <w:vAlign w:val="center"/>
          </w:tcPr>
          <w:p w:rsidR="001A0CB6" w:rsidRPr="00A47B83" w:rsidRDefault="001A0CB6" w:rsidP="00B732CB">
            <w:pPr>
              <w:pStyle w:val="TableParagraph"/>
              <w:jc w:val="center"/>
              <w:rPr>
                <w:rFonts w:ascii="仿宋_GB2312" w:eastAsia="仿宋_GB2312" w:hint="eastAsia"/>
                <w:w w:val="105"/>
                <w:sz w:val="13"/>
                <w:szCs w:val="13"/>
                <w:lang w:val="en-US"/>
              </w:rPr>
            </w:pPr>
          </w:p>
        </w:tc>
      </w:tr>
      <w:tr w:rsidR="001A0CB6" w:rsidRPr="0008269C" w:rsidTr="00B732CB">
        <w:trPr>
          <w:trHeight w:val="283"/>
          <w:jc w:val="center"/>
        </w:trPr>
        <w:tc>
          <w:tcPr>
            <w:tcW w:w="145" w:type="pct"/>
            <w:vAlign w:val="center"/>
          </w:tcPr>
          <w:p w:rsidR="001A0CB6" w:rsidRPr="00A47B83" w:rsidRDefault="001A0CB6" w:rsidP="00B732CB">
            <w:pPr>
              <w:pStyle w:val="TableParagraph"/>
              <w:jc w:val="center"/>
              <w:rPr>
                <w:rFonts w:ascii="仿宋_GB2312" w:eastAsia="仿宋_GB2312" w:hint="eastAsia"/>
                <w:sz w:val="13"/>
                <w:lang w:val="en-US"/>
              </w:rPr>
            </w:pPr>
            <w:r w:rsidRPr="00A47B83">
              <w:rPr>
                <w:rFonts w:ascii="仿宋_GB2312" w:eastAsia="仿宋_GB2312" w:hint="eastAsia"/>
                <w:sz w:val="13"/>
                <w:szCs w:val="21"/>
                <w:lang w:val="en-US"/>
              </w:rPr>
              <w:t>16</w:t>
            </w:r>
          </w:p>
        </w:tc>
        <w:tc>
          <w:tcPr>
            <w:tcW w:w="435"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w w:val="105"/>
                <w:sz w:val="13"/>
                <w:szCs w:val="13"/>
                <w:lang w:val="en-US"/>
              </w:rPr>
              <w:t>奖惩项（加减分项）</w:t>
            </w:r>
          </w:p>
        </w:tc>
        <w:tc>
          <w:tcPr>
            <w:tcW w:w="193" w:type="pct"/>
            <w:vAlign w:val="center"/>
          </w:tcPr>
          <w:p w:rsidR="001A0CB6" w:rsidRPr="00A47B83" w:rsidRDefault="001A0CB6" w:rsidP="00B732CB">
            <w:pPr>
              <w:pStyle w:val="TableParagraph"/>
              <w:jc w:val="center"/>
              <w:rPr>
                <w:rFonts w:ascii="仿宋_GB2312" w:eastAsia="仿宋_GB2312" w:hint="eastAsia"/>
                <w:sz w:val="13"/>
                <w:lang w:val="en-US"/>
              </w:rPr>
            </w:pPr>
          </w:p>
        </w:tc>
        <w:tc>
          <w:tcPr>
            <w:tcW w:w="2568"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sz w:val="13"/>
                <w:szCs w:val="13"/>
                <w:lang w:val="en-US"/>
              </w:rPr>
              <w:t>示范创建项目（亩均达到2500元标准）占当年任务量不足20%的每减少5%扣1分，超过20%的部分每增加10%得1分，在撂荒地开展高标准农田建设面积占比达到本地区撂荒地总面积每达到10%得0.5分。</w:t>
            </w:r>
          </w:p>
        </w:tc>
        <w:tc>
          <w:tcPr>
            <w:tcW w:w="193" w:type="pct"/>
            <w:vAlign w:val="center"/>
          </w:tcPr>
          <w:p w:rsidR="001A0CB6" w:rsidRPr="00A47B83" w:rsidRDefault="001A0CB6" w:rsidP="00B732CB">
            <w:pPr>
              <w:pStyle w:val="TableParagraph"/>
              <w:jc w:val="center"/>
              <w:rPr>
                <w:rFonts w:ascii="仿宋_GB2312" w:eastAsia="仿宋_GB2312" w:hint="eastAsia"/>
                <w:sz w:val="13"/>
              </w:rPr>
            </w:pPr>
          </w:p>
        </w:tc>
        <w:tc>
          <w:tcPr>
            <w:tcW w:w="1466" w:type="pct"/>
            <w:vAlign w:val="center"/>
          </w:tcPr>
          <w:p w:rsidR="001A0CB6" w:rsidRPr="00A47B83" w:rsidRDefault="001A0CB6" w:rsidP="00B732CB">
            <w:pPr>
              <w:pStyle w:val="TableParagraph"/>
              <w:jc w:val="center"/>
              <w:rPr>
                <w:rFonts w:ascii="仿宋_GB2312" w:eastAsia="仿宋_GB2312" w:hint="eastAsia"/>
                <w:sz w:val="13"/>
              </w:rPr>
            </w:pPr>
            <w:r w:rsidRPr="00A47B83">
              <w:rPr>
                <w:rFonts w:ascii="仿宋_GB2312" w:eastAsia="仿宋_GB2312" w:hint="eastAsia"/>
                <w:w w:val="105"/>
                <w:sz w:val="13"/>
                <w:szCs w:val="13"/>
                <w:lang w:val="en-US"/>
              </w:rPr>
              <w:t>以市（区）上报数据和农业农村厅核查数据为依据</w:t>
            </w:r>
          </w:p>
        </w:tc>
      </w:tr>
    </w:tbl>
    <w:p w:rsidR="001A0CB6" w:rsidRDefault="001A0CB6" w:rsidP="001A0CB6">
      <w:pPr>
        <w:spacing w:before="2"/>
        <w:rPr>
          <w:sz w:val="5"/>
        </w:rPr>
      </w:pPr>
    </w:p>
    <w:p w:rsidR="001A0CB6" w:rsidRDefault="001A0CB6" w:rsidP="001A0CB6">
      <w:pPr>
        <w:ind w:leftChars="30" w:left="63"/>
        <w:rPr>
          <w:rFonts w:ascii="仿宋_GB2312" w:eastAsia="仿宋_GB2312" w:hAnsi="仿宋_GB2312" w:cs="仿宋_GB2312" w:hint="eastAsia"/>
          <w:sz w:val="16"/>
        </w:rPr>
      </w:pPr>
      <w:r>
        <w:rPr>
          <w:rFonts w:ascii="仿宋_GB2312" w:eastAsia="仿宋_GB2312" w:hAnsi="仿宋_GB2312" w:cs="仿宋_GB2312" w:hint="eastAsia"/>
          <w:sz w:val="16"/>
        </w:rPr>
        <w:t xml:space="preserve">  </w:t>
      </w:r>
    </w:p>
    <w:p w:rsidR="001A0CB6" w:rsidRDefault="001A0CB6" w:rsidP="001A0CB6">
      <w:pPr>
        <w:ind w:leftChars="30" w:left="63" w:firstLineChars="100" w:firstLine="160"/>
        <w:rPr>
          <w:rFonts w:ascii="仿宋_GB2312" w:eastAsia="仿宋_GB2312" w:hAnsi="仿宋_GB2312" w:cs="仿宋_GB2312"/>
          <w:sz w:val="16"/>
        </w:rPr>
      </w:pPr>
      <w:r>
        <w:rPr>
          <w:rFonts w:ascii="仿宋_GB2312" w:eastAsia="仿宋_GB2312" w:hAnsi="仿宋_GB2312" w:cs="仿宋_GB2312" w:hint="eastAsia"/>
          <w:sz w:val="16"/>
        </w:rPr>
        <w:t>注：1.本表第1-12项统计时间为当年1月1日至12月31日，统计口径含往年度结转、当年省下达和各地自建的高标准农田在当年的完成情况；</w:t>
      </w:r>
    </w:p>
    <w:p w:rsidR="001A0CB6" w:rsidRDefault="001A0CB6" w:rsidP="001A0CB6">
      <w:pPr>
        <w:tabs>
          <w:tab w:val="left" w:pos="755"/>
        </w:tabs>
        <w:rPr>
          <w:rFonts w:ascii="仿宋_GB2312" w:eastAsia="仿宋_GB2312" w:hAnsi="仿宋_GB2312" w:cs="仿宋_GB2312"/>
          <w:sz w:val="16"/>
        </w:rPr>
      </w:pPr>
      <w:r>
        <w:rPr>
          <w:rFonts w:ascii="仿宋_GB2312" w:eastAsia="仿宋_GB2312" w:hAnsi="仿宋_GB2312" w:cs="仿宋_GB2312" w:hint="eastAsia"/>
          <w:sz w:val="16"/>
        </w:rPr>
        <w:t xml:space="preserve">       2.本表第10-15项用于对当年高标准农田建设进展情况评价，统计时间为当年预算资金安排的新立项项目截至当年12月31日的进展情况；</w:t>
      </w:r>
    </w:p>
    <w:p w:rsidR="001A0CB6" w:rsidRDefault="001A0CB6" w:rsidP="001A0CB6">
      <w:pPr>
        <w:tabs>
          <w:tab w:val="left" w:pos="755"/>
        </w:tabs>
        <w:rPr>
          <w:rFonts w:ascii="仿宋_GB2312" w:eastAsia="仿宋_GB2312" w:hAnsi="仿宋_GB2312" w:cs="仿宋_GB2312"/>
          <w:sz w:val="16"/>
        </w:rPr>
      </w:pPr>
      <w:r>
        <w:rPr>
          <w:rFonts w:ascii="仿宋_GB2312" w:eastAsia="仿宋_GB2312" w:hAnsi="仿宋_GB2312" w:cs="仿宋_GB2312" w:hint="eastAsia"/>
          <w:sz w:val="16"/>
        </w:rPr>
        <w:t xml:space="preserve">       3.当年任务在当年完成，且已经列入统计的，原则上不得再列入下一年度高标准农田建设完成任务；</w:t>
      </w:r>
    </w:p>
    <w:p w:rsidR="001A0CB6" w:rsidRDefault="001A0CB6" w:rsidP="001A0CB6">
      <w:pPr>
        <w:rPr>
          <w:rFonts w:ascii="仿宋_GB2312" w:eastAsia="仿宋_GB2312"/>
          <w:szCs w:val="32"/>
        </w:rPr>
        <w:sectPr w:rsidR="001A0CB6" w:rsidSect="0008269C">
          <w:footerReference w:type="default" r:id="rId6"/>
          <w:pgSz w:w="16838" w:h="11906" w:orient="landscape" w:code="9"/>
          <w:pgMar w:top="1871" w:right="1531" w:bottom="1474" w:left="1531" w:header="851" w:footer="1134" w:gutter="0"/>
          <w:cols w:space="425"/>
          <w:docGrid w:linePitch="600" w:charSpace="-2501"/>
        </w:sectPr>
      </w:pPr>
      <w:r>
        <w:rPr>
          <w:rFonts w:ascii="仿宋_GB2312" w:eastAsia="仿宋_GB2312" w:hAnsi="仿宋_GB2312" w:cs="仿宋_GB2312" w:hint="eastAsia"/>
          <w:sz w:val="16"/>
        </w:rPr>
        <w:t xml:space="preserve">       4.开工实施节点一般从监理单位发出项目开工令之日算起。</w:t>
      </w:r>
    </w:p>
    <w:p w:rsidR="007D2E3E" w:rsidRPr="001A0CB6" w:rsidRDefault="007D2E3E"/>
    <w:sectPr w:rsidR="007D2E3E" w:rsidRPr="001A0CB6" w:rsidSect="001A0CB6">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E3E" w:rsidRDefault="007D2E3E" w:rsidP="001A0CB6">
      <w:r>
        <w:separator/>
      </w:r>
    </w:p>
  </w:endnote>
  <w:endnote w:type="continuationSeparator" w:id="1">
    <w:p w:rsidR="007D2E3E" w:rsidRDefault="007D2E3E" w:rsidP="001A0C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B6" w:rsidRPr="00A11734" w:rsidRDefault="001A0CB6" w:rsidP="0008269C">
    <w:pPr>
      <w:pStyle w:val="a4"/>
      <w:ind w:right="140"/>
      <w:jc w:val="center"/>
      <w:rPr>
        <w:rFonts w:ascii="仿宋_GB2312" w:eastAsia="仿宋_GB2312" w:hint="eastAsia"/>
        <w:sz w:val="28"/>
        <w:szCs w:val="28"/>
      </w:rPr>
    </w:pPr>
    <w:r w:rsidRPr="00A11734">
      <w:rPr>
        <w:rFonts w:ascii="仿宋_GB2312" w:eastAsia="仿宋_GB2312" w:hint="eastAsia"/>
        <w:sz w:val="28"/>
        <w:szCs w:val="28"/>
      </w:rPr>
      <w:t>—</w:t>
    </w:r>
    <w:r w:rsidRPr="00A11734">
      <w:rPr>
        <w:rFonts w:ascii="仿宋_GB2312" w:eastAsia="仿宋_GB2312" w:hint="eastAsia"/>
        <w:sz w:val="28"/>
        <w:szCs w:val="28"/>
      </w:rPr>
      <w:fldChar w:fldCharType="begin"/>
    </w:r>
    <w:r w:rsidRPr="00A11734">
      <w:rPr>
        <w:rFonts w:ascii="仿宋_GB2312" w:eastAsia="仿宋_GB2312" w:hint="eastAsia"/>
        <w:sz w:val="28"/>
        <w:szCs w:val="28"/>
      </w:rPr>
      <w:instrText xml:space="preserve"> PAGE   \* MERGEFORMAT </w:instrText>
    </w:r>
    <w:r w:rsidRPr="00A11734">
      <w:rPr>
        <w:rFonts w:ascii="仿宋_GB2312" w:eastAsia="仿宋_GB2312" w:hint="eastAsia"/>
        <w:sz w:val="28"/>
        <w:szCs w:val="28"/>
      </w:rPr>
      <w:fldChar w:fldCharType="separate"/>
    </w:r>
    <w:r w:rsidRPr="001A0CB6">
      <w:rPr>
        <w:rFonts w:ascii="仿宋_GB2312" w:eastAsia="仿宋_GB2312"/>
        <w:noProof/>
        <w:sz w:val="28"/>
        <w:szCs w:val="28"/>
        <w:lang w:val="zh-CN"/>
      </w:rPr>
      <w:t>1</w:t>
    </w:r>
    <w:r w:rsidRPr="00A11734">
      <w:rPr>
        <w:rFonts w:ascii="仿宋_GB2312" w:eastAsia="仿宋_GB2312" w:hint="eastAsia"/>
        <w:sz w:val="28"/>
        <w:szCs w:val="28"/>
      </w:rPr>
      <w:fldChar w:fldCharType="end"/>
    </w:r>
    <w:r w:rsidRPr="00A11734">
      <w:rPr>
        <w:rFonts w:ascii="仿宋_GB2312" w:eastAsia="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E3E" w:rsidRDefault="007D2E3E" w:rsidP="001A0CB6">
      <w:r>
        <w:separator/>
      </w:r>
    </w:p>
  </w:footnote>
  <w:footnote w:type="continuationSeparator" w:id="1">
    <w:p w:rsidR="007D2E3E" w:rsidRDefault="007D2E3E" w:rsidP="001A0C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0CB6"/>
    <w:rsid w:val="001A0CB6"/>
    <w:rsid w:val="007D2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0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0CB6"/>
    <w:rPr>
      <w:sz w:val="18"/>
      <w:szCs w:val="18"/>
    </w:rPr>
  </w:style>
  <w:style w:type="paragraph" w:styleId="a4">
    <w:name w:val="footer"/>
    <w:basedOn w:val="a"/>
    <w:link w:val="Char0"/>
    <w:unhideWhenUsed/>
    <w:qFormat/>
    <w:rsid w:val="001A0CB6"/>
    <w:pPr>
      <w:tabs>
        <w:tab w:val="center" w:pos="4153"/>
        <w:tab w:val="right" w:pos="8306"/>
      </w:tabs>
      <w:snapToGrid w:val="0"/>
      <w:jc w:val="left"/>
    </w:pPr>
    <w:rPr>
      <w:sz w:val="18"/>
      <w:szCs w:val="18"/>
    </w:rPr>
  </w:style>
  <w:style w:type="character" w:customStyle="1" w:styleId="Char0">
    <w:name w:val="页脚 Char"/>
    <w:basedOn w:val="a0"/>
    <w:link w:val="a4"/>
    <w:uiPriority w:val="99"/>
    <w:rsid w:val="001A0CB6"/>
    <w:rPr>
      <w:sz w:val="18"/>
      <w:szCs w:val="18"/>
    </w:rPr>
  </w:style>
  <w:style w:type="paragraph" w:styleId="a5">
    <w:name w:val="Body Text"/>
    <w:basedOn w:val="a"/>
    <w:link w:val="Char1"/>
    <w:rsid w:val="001A0CB6"/>
    <w:pPr>
      <w:spacing w:line="600" w:lineRule="exact"/>
    </w:pPr>
    <w:rPr>
      <w:rFonts w:ascii="Times New Roman" w:eastAsia="仿宋_GB2312" w:hAnsi="Times New Roman" w:cs="Times New Roman"/>
      <w:sz w:val="32"/>
      <w:szCs w:val="24"/>
    </w:rPr>
  </w:style>
  <w:style w:type="character" w:customStyle="1" w:styleId="Char1">
    <w:name w:val="正文文本 Char"/>
    <w:basedOn w:val="a0"/>
    <w:link w:val="a5"/>
    <w:rsid w:val="001A0CB6"/>
    <w:rPr>
      <w:rFonts w:ascii="Times New Roman" w:eastAsia="仿宋_GB2312" w:hAnsi="Times New Roman" w:cs="Times New Roman"/>
      <w:sz w:val="32"/>
      <w:szCs w:val="24"/>
    </w:rPr>
  </w:style>
  <w:style w:type="paragraph" w:customStyle="1" w:styleId="TableParagraph">
    <w:name w:val="Table Paragraph"/>
    <w:basedOn w:val="a"/>
    <w:uiPriority w:val="1"/>
    <w:qFormat/>
    <w:rsid w:val="001A0CB6"/>
    <w:rPr>
      <w:rFonts w:ascii="宋体" w:eastAsia="宋体" w:hAnsi="宋体" w:cs="宋体"/>
      <w:szCs w:val="24"/>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Company>JF</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江芳</dc:creator>
  <cp:keywords/>
  <dc:description/>
  <cp:lastModifiedBy>江芳</cp:lastModifiedBy>
  <cp:revision>2</cp:revision>
  <dcterms:created xsi:type="dcterms:W3CDTF">2021-11-10T03:34:00Z</dcterms:created>
  <dcterms:modified xsi:type="dcterms:W3CDTF">2021-11-10T03:34:00Z</dcterms:modified>
</cp:coreProperties>
</file>