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03" w:rsidRDefault="00F27503" w:rsidP="00F27503">
      <w:pPr>
        <w:spacing w:line="600" w:lineRule="exact"/>
        <w:ind w:firstLine="641"/>
        <w:jc w:val="left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F27503" w:rsidRDefault="00F27503" w:rsidP="00F27503">
      <w:pPr>
        <w:spacing w:line="240" w:lineRule="exact"/>
        <w:ind w:firstLine="641"/>
        <w:jc w:val="left"/>
        <w:rPr>
          <w:rFonts w:ascii="华文仿宋" w:eastAsia="华文仿宋" w:hAnsi="华文仿宋" w:hint="eastAsia"/>
          <w:bCs/>
          <w:sz w:val="32"/>
          <w:szCs w:val="32"/>
        </w:rPr>
      </w:pPr>
    </w:p>
    <w:p w:rsidR="00F27503" w:rsidRDefault="00F27503" w:rsidP="00F27503">
      <w:pPr>
        <w:spacing w:line="600" w:lineRule="exact"/>
        <w:jc w:val="center"/>
        <w:rPr>
          <w:rFonts w:ascii="方正小标宋简体" w:eastAsia="方正小标宋简体" w:hAnsi="华文仿宋" w:hint="eastAsia"/>
          <w:spacing w:val="-16"/>
          <w:w w:val="98"/>
          <w:sz w:val="44"/>
          <w:szCs w:val="44"/>
        </w:rPr>
      </w:pPr>
      <w:r>
        <w:rPr>
          <w:rFonts w:ascii="方正小标宋简体" w:eastAsia="方正小标宋简体" w:hAnsi="华文仿宋" w:hint="eastAsia"/>
          <w:spacing w:val="-16"/>
          <w:w w:val="98"/>
          <w:sz w:val="44"/>
          <w:szCs w:val="44"/>
        </w:rPr>
        <w:t>2018年旱作农业技术推广项目任务及资金分配表</w:t>
      </w:r>
    </w:p>
    <w:p w:rsidR="00F27503" w:rsidRDefault="00F27503" w:rsidP="00F27503">
      <w:pPr>
        <w:rPr>
          <w:rFonts w:ascii="华文仿宋" w:eastAsia="华文仿宋" w:hAnsi="华文仿宋" w:hint="eastAsia"/>
          <w:sz w:val="28"/>
          <w:szCs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1335"/>
        <w:gridCol w:w="5460"/>
        <w:gridCol w:w="1221"/>
      </w:tblGrid>
      <w:tr w:rsidR="00F27503" w:rsidTr="00F27503">
        <w:trPr>
          <w:trHeight w:val="7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项目县区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任务面积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项目资金</w:t>
            </w:r>
          </w:p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(万元)</w:t>
            </w:r>
          </w:p>
        </w:tc>
      </w:tr>
      <w:tr w:rsidR="00F27503" w:rsidTr="00F27503">
        <w:trPr>
          <w:trHeight w:val="7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渭南市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1360</w:t>
            </w:r>
          </w:p>
        </w:tc>
      </w:tr>
      <w:tr w:rsidR="00F27503" w:rsidTr="00F27503">
        <w:trPr>
          <w:trHeight w:val="294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澄城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推广地膜覆盖4万亩，旱地小麦旱作节水集成技术2万亩，水肥一体节水补灌技术500亩。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F27503" w:rsidTr="00F27503">
        <w:trPr>
          <w:trHeight w:val="22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合阳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推广地膜覆盖4万亩，旱地小麦旱作节水集成技术2万亩，水肥一体节水补灌技术500亩。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F27503" w:rsidTr="00F27503">
        <w:trPr>
          <w:trHeight w:val="47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白水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推广地膜覆盖4万亩，旱地小麦旱作节水集成技术2万亩，水肥一体节水补灌技术500亩。开展苹果水肥一体化技术集成和模式探索。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27503" w:rsidTr="00F27503">
        <w:trPr>
          <w:trHeight w:val="17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咸阳市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F27503" w:rsidTr="00F27503">
        <w:trPr>
          <w:trHeight w:val="125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长武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推广地膜覆盖2万亩，旱地小麦旱作节水集成技术2万亩。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淳化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推广地膜覆盖4万亩，旱地小麦旱作节水集成技术2万亩，露地蔬菜水肥一体节水灌溉技术1500亩。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彬县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推广地膜覆盖4万亩，旱地小麦旱作节水集成技术2万亩。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永寿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旱地小麦旱作节水集成技术2万亩，水肥一体节水补灌技术500亩。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三原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开展小麦-玉米连作水肥一体化技术集成和模式探索。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宝鸡市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730</w:t>
            </w:r>
          </w:p>
        </w:tc>
      </w:tr>
      <w:tr w:rsidR="00F27503" w:rsidTr="00F27503">
        <w:trPr>
          <w:trHeight w:val="693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千阳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推广地膜覆盖2万亩，旱地小麦旱作节水集成技术2万亩，水肥一体节水补灌技术500亩。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27503" w:rsidTr="00F27503">
        <w:trPr>
          <w:trHeight w:val="26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麟游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推广地膜覆盖2万亩，旱地小麦旱作节水集成技术2万亩，水肥一体节水补灌技术500亩。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陇县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F27503" w:rsidTr="00F27503">
        <w:trPr>
          <w:trHeight w:val="15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铜川市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385</w:t>
            </w:r>
          </w:p>
        </w:tc>
      </w:tr>
      <w:tr w:rsidR="00F27503" w:rsidTr="00F27503">
        <w:trPr>
          <w:trHeight w:val="463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宜君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推广地膜覆盖4万亩。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220</w:t>
            </w:r>
          </w:p>
        </w:tc>
      </w:tr>
      <w:tr w:rsidR="00F27503" w:rsidTr="00F27503">
        <w:trPr>
          <w:trHeight w:val="302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印台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26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西安市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275</w:t>
            </w:r>
          </w:p>
        </w:tc>
      </w:tr>
      <w:tr w:rsidR="00F27503" w:rsidTr="00F27503">
        <w:trPr>
          <w:trHeight w:val="79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蓝田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旱地小麦旱作节水集成技术1万亩，水肥一体节水补灌技术500亩。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F27503" w:rsidTr="00F27503">
        <w:trPr>
          <w:trHeight w:val="55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长安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旱地小麦旱作节水集成技术2万亩。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27503" w:rsidTr="00F27503">
        <w:trPr>
          <w:trHeight w:val="40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lastRenderedPageBreak/>
              <w:t>延安市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1975</w:t>
            </w:r>
          </w:p>
        </w:tc>
      </w:tr>
      <w:tr w:rsidR="00F27503" w:rsidTr="00F27503">
        <w:trPr>
          <w:trHeight w:val="223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吴起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推广地膜覆盖7万亩、谷子水肥一体补灌技术550亩。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F27503" w:rsidTr="00F27503">
        <w:trPr>
          <w:trHeight w:val="132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安塞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推广地膜覆盖4万亩 、水肥一体补灌技术1000亩。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27503" w:rsidTr="00F27503">
        <w:trPr>
          <w:trHeight w:val="30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宝塔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推广地膜覆盖3万亩，露地蔬菜水肥一体节水灌溉1400亩。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305</w:t>
            </w:r>
          </w:p>
        </w:tc>
      </w:tr>
      <w:tr w:rsidR="00F27503" w:rsidTr="00F27503">
        <w:trPr>
          <w:trHeight w:val="407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黄陵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76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志丹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F27503" w:rsidTr="00F27503">
        <w:trPr>
          <w:trHeight w:val="27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子长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推广地膜覆盖1.5万亩。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82.5</w:t>
            </w:r>
          </w:p>
        </w:tc>
      </w:tr>
      <w:tr w:rsidR="00F27503" w:rsidTr="00F27503">
        <w:trPr>
          <w:trHeight w:val="144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黄龙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玉米水肥一体补灌技术2400亩。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F27503" w:rsidTr="00F27503">
        <w:trPr>
          <w:trHeight w:val="144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宜川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推广地膜覆盖1万亩。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55</w:t>
            </w:r>
          </w:p>
        </w:tc>
      </w:tr>
      <w:tr w:rsidR="00F27503" w:rsidTr="00F27503">
        <w:trPr>
          <w:trHeight w:val="144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甘泉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水肥一体补灌技术1200亩。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F27503" w:rsidTr="00F27503">
        <w:trPr>
          <w:trHeight w:val="144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延川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推广地膜覆盖1万亩。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55</w:t>
            </w:r>
          </w:p>
        </w:tc>
      </w:tr>
      <w:tr w:rsidR="00F27503" w:rsidTr="00F27503">
        <w:trPr>
          <w:trHeight w:val="484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洛川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推广地膜覆盖1.5万亩。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82.5</w:t>
            </w:r>
          </w:p>
        </w:tc>
      </w:tr>
      <w:tr w:rsidR="00F27503" w:rsidTr="00F27503">
        <w:trPr>
          <w:trHeight w:val="14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榆林市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3715</w:t>
            </w:r>
          </w:p>
        </w:tc>
      </w:tr>
      <w:tr w:rsidR="00F27503" w:rsidTr="00F27503">
        <w:trPr>
          <w:trHeight w:val="39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靖边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推广地膜覆盖9万亩、水肥一体技术6000亩。开展玉米、马铃薯水肥一体化技术集成和模式探索。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1085</w:t>
            </w:r>
          </w:p>
        </w:tc>
      </w:tr>
      <w:tr w:rsidR="00F27503" w:rsidTr="00F27503">
        <w:trPr>
          <w:trHeight w:val="14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定边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推广地膜覆盖6万亩、水肥一体技术6000亩。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930</w:t>
            </w:r>
          </w:p>
        </w:tc>
      </w:tr>
      <w:tr w:rsidR="00F27503" w:rsidTr="00F27503">
        <w:trPr>
          <w:trHeight w:val="54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榆阳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推广地膜覆盖2万亩、水肥一体技术3000亩。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410</w:t>
            </w:r>
          </w:p>
        </w:tc>
      </w:tr>
      <w:tr w:rsidR="00F27503" w:rsidTr="00F27503">
        <w:trPr>
          <w:trHeight w:val="549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神木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推广地膜覆盖2万亩、水肥一体技术3000亩。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410</w:t>
            </w:r>
          </w:p>
        </w:tc>
      </w:tr>
      <w:tr w:rsidR="00F27503" w:rsidTr="00F27503">
        <w:trPr>
          <w:trHeight w:val="35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子洲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73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佳县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 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21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横山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14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绥德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F27503" w:rsidTr="00F27503">
        <w:trPr>
          <w:trHeight w:val="14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米脂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推广地膜覆盖2万亩。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F27503" w:rsidTr="00F27503">
        <w:trPr>
          <w:trHeight w:val="14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清涧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推广地膜覆盖3 万亩。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F27503" w:rsidTr="00F27503">
        <w:trPr>
          <w:trHeight w:val="7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杨凌示范区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西北农林科技大学农学院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lef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旱作农业覆盖栽培技术研究与集成40万元，小麦节水机理研究及技术集成40万元，全省旱地小麦生产技术指导30万元。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110</w:t>
            </w:r>
          </w:p>
        </w:tc>
      </w:tr>
      <w:tr w:rsidR="00F27503" w:rsidTr="00F27503">
        <w:trPr>
          <w:trHeight w:val="27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>10000</w:t>
            </w:r>
          </w:p>
        </w:tc>
      </w:tr>
    </w:tbl>
    <w:p w:rsidR="00F27503" w:rsidRDefault="00F27503" w:rsidP="00F27503">
      <w:pPr>
        <w:spacing w:line="400" w:lineRule="exact"/>
        <w:jc w:val="center"/>
        <w:rPr>
          <w:rFonts w:ascii="华文仿宋" w:eastAsia="华文仿宋" w:hAnsi="华文仿宋" w:hint="eastAsia"/>
          <w:b/>
          <w:bCs/>
          <w:sz w:val="36"/>
          <w:szCs w:val="36"/>
        </w:rPr>
      </w:pPr>
    </w:p>
    <w:p w:rsidR="00F27503" w:rsidRDefault="00F27503" w:rsidP="00F27503">
      <w:pPr>
        <w:widowControl/>
        <w:jc w:val="left"/>
        <w:rPr>
          <w:rFonts w:ascii="华文仿宋" w:eastAsia="华文仿宋" w:hAnsi="华文仿宋"/>
          <w:b/>
          <w:kern w:val="0"/>
          <w:sz w:val="36"/>
          <w:szCs w:val="36"/>
        </w:rPr>
        <w:sectPr w:rsidR="00F27503">
          <w:pgSz w:w="11906" w:h="16838"/>
          <w:pgMar w:top="1871" w:right="1531" w:bottom="1474" w:left="1531" w:header="851" w:footer="1134" w:gutter="0"/>
          <w:cols w:space="720"/>
        </w:sectPr>
      </w:pPr>
    </w:p>
    <w:p w:rsidR="00F27503" w:rsidRDefault="00F27503" w:rsidP="00F27503">
      <w:pPr>
        <w:spacing w:line="60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附件2</w:t>
      </w:r>
    </w:p>
    <w:p w:rsidR="00F27503" w:rsidRDefault="00F27503" w:rsidP="00F27503">
      <w:pPr>
        <w:spacing w:afterLines="50" w:line="600" w:lineRule="exact"/>
        <w:jc w:val="center"/>
        <w:rPr>
          <w:rFonts w:ascii="方正小标宋简体" w:eastAsia="方正小标宋简体" w:hAnsi="华文仿宋" w:hint="eastAsia"/>
          <w:bCs/>
          <w:sz w:val="44"/>
          <w:szCs w:val="44"/>
        </w:rPr>
      </w:pPr>
      <w:r>
        <w:rPr>
          <w:rFonts w:ascii="方正小标宋简体" w:eastAsia="方正小标宋简体" w:hAnsi="华文仿宋" w:hint="eastAsia"/>
          <w:bCs/>
          <w:sz w:val="44"/>
          <w:szCs w:val="44"/>
        </w:rPr>
        <w:t>旱作节水农业与地膜减量增效技术示范区标牌（样式）</w:t>
      </w:r>
    </w:p>
    <w:tbl>
      <w:tblPr>
        <w:tblW w:w="11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5"/>
      </w:tblGrid>
      <w:tr w:rsidR="00F27503" w:rsidTr="00F27503">
        <w:trPr>
          <w:trHeight w:val="6144"/>
          <w:jc w:val="center"/>
        </w:trPr>
        <w:tc>
          <w:tcPr>
            <w:tcW w:w="1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spacing w:line="500" w:lineRule="exact"/>
              <w:jc w:val="center"/>
              <w:rPr>
                <w:rFonts w:ascii="华文仿宋" w:eastAsia="华文仿宋" w:hAnsi="华文仿宋"/>
                <w:sz w:val="38"/>
                <w:szCs w:val="32"/>
              </w:rPr>
            </w:pPr>
          </w:p>
          <w:p w:rsidR="00F27503" w:rsidRDefault="00F27503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40"/>
                <w:szCs w:val="40"/>
              </w:rPr>
            </w:pPr>
            <w:r>
              <w:rPr>
                <w:rFonts w:ascii="华文仿宋" w:eastAsia="华文仿宋" w:hAnsi="华文仿宋" w:hint="eastAsia"/>
                <w:sz w:val="40"/>
                <w:szCs w:val="40"/>
              </w:rPr>
              <w:t>旱作节水农业与</w:t>
            </w:r>
            <w:r>
              <w:rPr>
                <w:rFonts w:hint="eastAsia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自选图形 22" o:spid="_x0000_s1031" type="#_x0000_t62" style="position:absolute;left:0;text-align:left;margin-left:601.15pt;margin-top:6.05pt;width:83.5pt;height:108.45pt;z-index:251658240;mso-position-horizontal-relative:text;mso-position-vertical-relative:text" adj="-14046,21959">
                  <v:textbox>
                    <w:txbxContent>
                      <w:p w:rsidR="00F27503" w:rsidRDefault="00F27503" w:rsidP="00F27503">
                        <w:r>
                          <w:rPr>
                            <w:rFonts w:hint="eastAsia"/>
                          </w:rPr>
                          <w:t>彩色示意图，长约占整个标牌长的三分之一，高约占整个标牌高的二分之一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华文仿宋" w:eastAsia="华文仿宋" w:hAnsi="华文仿宋" w:hint="eastAsia"/>
                <w:sz w:val="40"/>
                <w:szCs w:val="40"/>
              </w:rPr>
              <w:t>地膜减量增效技术示范区</w:t>
            </w:r>
          </w:p>
          <w:p w:rsidR="00F27503" w:rsidRDefault="00F27503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48"/>
                <w:szCs w:val="48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" o:spid="_x0000_s1027" type="#_x0000_t202" style="position:absolute;left:0;text-align:left;margin-left:365.1pt;margin-top:.5pt;width:207pt;height:121.95pt;z-index:251658240">
                  <v:textbox>
                    <w:txbxContent>
                      <w:p w:rsidR="00F27503" w:rsidRDefault="00F27503" w:rsidP="00F27503">
                        <w:pPr>
                          <w:spacing w:line="440" w:lineRule="exact"/>
                          <w:jc w:val="center"/>
                          <w:rPr>
                            <w:rFonts w:ascii="华文新魏" w:eastAsia="华文新魏"/>
                            <w:sz w:val="48"/>
                            <w:szCs w:val="48"/>
                          </w:rPr>
                        </w:pPr>
                      </w:p>
                      <w:p w:rsidR="00F27503" w:rsidRDefault="00F27503" w:rsidP="00F27503">
                        <w:pPr>
                          <w:spacing w:line="600" w:lineRule="exact"/>
                          <w:jc w:val="center"/>
                          <w:rPr>
                            <w:rFonts w:ascii="华文新魏" w:eastAsia="华文新魏" w:hint="eastAsia"/>
                            <w:spacing w:val="4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华文新魏" w:eastAsia="华文新魏" w:hint="eastAsia"/>
                            <w:sz w:val="36"/>
                            <w:szCs w:val="36"/>
                          </w:rPr>
                          <w:t>示范区</w:t>
                        </w:r>
                        <w:r>
                          <w:rPr>
                            <w:rFonts w:ascii="华文新魏" w:eastAsia="华文新魏" w:hint="eastAsia"/>
                            <w:spacing w:val="40"/>
                            <w:sz w:val="36"/>
                            <w:szCs w:val="36"/>
                          </w:rPr>
                          <w:t>实施区域</w:t>
                        </w:r>
                      </w:p>
                      <w:p w:rsidR="00F27503" w:rsidRDefault="00F27503" w:rsidP="00F27503">
                        <w:pPr>
                          <w:spacing w:line="240" w:lineRule="atLeast"/>
                          <w:jc w:val="center"/>
                          <w:rPr>
                            <w:rFonts w:eastAsia="楷体_GB2312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楷体_GB2312" w:hint="eastAsia"/>
                            <w:sz w:val="28"/>
                            <w:szCs w:val="28"/>
                          </w:rPr>
                          <w:t>（具体实施区域要明确标注）</w:t>
                        </w:r>
                      </w:p>
                    </w:txbxContent>
                  </v:textbox>
                </v:shape>
              </w:pict>
            </w:r>
          </w:p>
          <w:p w:rsidR="00F27503" w:rsidRDefault="00F27503">
            <w:pPr>
              <w:tabs>
                <w:tab w:val="left" w:pos="1584"/>
              </w:tabs>
              <w:spacing w:line="24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hint="eastAsia"/>
              </w:rPr>
              <w:pict>
                <v:shape id="自选图形 19" o:spid="_x0000_s1028" type="#_x0000_t62" style="position:absolute;left:0;text-align:left;margin-left:-92.2pt;margin-top:9.9pt;width:73.5pt;height:23.4pt;z-index:251658240" adj="54896,-40846">
                  <v:textbox>
                    <w:txbxContent>
                      <w:p w:rsidR="00F27503" w:rsidRDefault="00F27503" w:rsidP="00F27503">
                        <w:r>
                          <w:rPr>
                            <w:rFonts w:hint="eastAsia"/>
                          </w:rPr>
                          <w:t>字体：黑体</w:t>
                        </w:r>
                      </w:p>
                      <w:p w:rsidR="00F27503" w:rsidRDefault="00F27503" w:rsidP="00F27503">
                        <w:pPr>
                          <w:rPr>
                            <w:rFonts w:ascii="华文中宋" w:eastAsia="华文中宋" w:hAnsi="华文中宋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基本情况：涉及××个乡（镇）、××个村，共××万亩</w:t>
            </w:r>
          </w:p>
          <w:p w:rsidR="00F27503" w:rsidRDefault="00F27503">
            <w:pPr>
              <w:spacing w:line="24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目标任务：实施规模，节水、增产、增效</w:t>
            </w:r>
          </w:p>
          <w:p w:rsidR="00F27503" w:rsidRDefault="00F27503">
            <w:pPr>
              <w:spacing w:line="58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hint="eastAsia"/>
              </w:rPr>
              <w:pict>
                <v:shape id="自选图形 20" o:spid="_x0000_s1029" type="#_x0000_t62" style="position:absolute;margin-left:-92.2pt;margin-top:10.9pt;width:73.5pt;height:23.4pt;z-index:251658240" adj="30387,-17308">
                  <v:textbox>
                    <w:txbxContent>
                      <w:p w:rsidR="00F27503" w:rsidRDefault="00F27503" w:rsidP="00F27503">
                        <w:r>
                          <w:rPr>
                            <w:rFonts w:hint="eastAsia"/>
                          </w:rPr>
                          <w:t>字体：黑体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关键技术：  技术模式：</w:t>
            </w:r>
          </w:p>
          <w:p w:rsidR="00F27503" w:rsidRDefault="00F27503">
            <w:pPr>
              <w:spacing w:line="580" w:lineRule="exact"/>
              <w:ind w:firstLineChars="600" w:firstLine="1260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hint="eastAsia"/>
              </w:rPr>
              <w:pict>
                <v:shape id="文本框 17" o:spid="_x0000_s1026" type="#_x0000_t202" style="position:absolute;left:0;text-align:left;margin-left:-1pt;margin-top:27.35pt;width:182.25pt;height:120.7pt;z-index:251658240" stroked="f">
                  <v:textbox>
                    <w:txbxContent>
                      <w:p w:rsidR="00F27503" w:rsidRDefault="00F27503" w:rsidP="00F27503">
                        <w:pPr>
                          <w:spacing w:line="400" w:lineRule="exact"/>
                          <w:rPr>
                            <w:rFonts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实施单位：</w:t>
                        </w:r>
                      </w:p>
                      <w:p w:rsidR="00F27503" w:rsidRDefault="00F27503" w:rsidP="00F27503">
                        <w:pPr>
                          <w:spacing w:line="400" w:lineRule="exact"/>
                          <w:jc w:val="left"/>
                          <w:rPr>
                            <w:rFonts w:eastAsia="楷体_GB231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工作负责人</w:t>
                        </w: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  <w:szCs w:val="28"/>
                          </w:rPr>
                          <w:t>：</w:t>
                        </w:r>
                      </w:p>
                      <w:p w:rsidR="00F27503" w:rsidRDefault="00F27503" w:rsidP="00F27503">
                        <w:pPr>
                          <w:spacing w:line="400" w:lineRule="exact"/>
                          <w:jc w:val="left"/>
                          <w:rPr>
                            <w:rFonts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技术负责人</w:t>
                        </w:r>
                        <w:r>
                          <w:rPr>
                            <w:rFonts w:ascii="楷体_GB2312" w:eastAsia="楷体_GB2312" w:hint="eastAsia"/>
                            <w:b/>
                            <w:sz w:val="28"/>
                            <w:szCs w:val="28"/>
                          </w:rPr>
                          <w:t>：</w:t>
                        </w:r>
                      </w:p>
                      <w:p w:rsidR="00F27503" w:rsidRDefault="00F27503" w:rsidP="00F27503">
                        <w:pPr>
                          <w:spacing w:line="400" w:lineRule="exact"/>
                          <w:jc w:val="left"/>
                          <w:rPr>
                            <w:rFonts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指导专家</w:t>
                        </w:r>
                        <w:r>
                          <w:rPr>
                            <w:rFonts w:eastAsia="楷体_GB2312" w:hint="eastAsia"/>
                            <w:sz w:val="28"/>
                            <w:szCs w:val="28"/>
                          </w:rPr>
                          <w:t>：</w:t>
                        </w:r>
                      </w:p>
                      <w:p w:rsidR="00F27503" w:rsidRDefault="00F27503" w:rsidP="00F27503">
                        <w:pPr>
                          <w:spacing w:line="400" w:lineRule="exact"/>
                          <w:ind w:firstLineChars="250" w:firstLine="700"/>
                          <w:jc w:val="left"/>
                          <w:rPr>
                            <w:rFonts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楷体_GB2312" w:hint="eastAsia"/>
                            <w:sz w:val="28"/>
                            <w:szCs w:val="28"/>
                          </w:rPr>
                          <w:t>（不超过</w:t>
                        </w:r>
                        <w:r>
                          <w:rPr>
                            <w:rFonts w:eastAsia="楷体_GB2312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eastAsia="楷体_GB2312" w:hint="eastAsia"/>
                            <w:sz w:val="28"/>
                            <w:szCs w:val="28"/>
                          </w:rPr>
                          <w:t>人）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技术路线：</w:t>
            </w:r>
          </w:p>
          <w:p w:rsidR="00F27503" w:rsidRDefault="00F27503">
            <w:pPr>
              <w:spacing w:line="580" w:lineRule="exact"/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hint="eastAsia"/>
              </w:rPr>
              <w:pict>
                <v:shape id="自选图形 21" o:spid="_x0000_s1030" type="#_x0000_t62" style="position:absolute;margin-left:-91.85pt;margin-top:21.95pt;width:71.55pt;height:23.4pt;z-index:251658240" adj="49540,-29308">
                  <v:textbox>
                    <w:txbxContent>
                      <w:p w:rsidR="00F27503" w:rsidRDefault="00F27503" w:rsidP="00F27503">
                        <w:r>
                          <w:rPr>
                            <w:rFonts w:hint="eastAsia"/>
                          </w:rPr>
                          <w:t>字体：楷体</w:t>
                        </w:r>
                      </w:p>
                      <w:p w:rsidR="00F27503" w:rsidRDefault="00F27503" w:rsidP="00F27503">
                        <w:pPr>
                          <w:rPr>
                            <w:rFonts w:ascii="华文中宋" w:eastAsia="华文中宋" w:hAnsi="华文中宋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pict>
                <v:shape id="文本框 23" o:spid="_x0000_s1032" type="#_x0000_t202" style="position:absolute;margin-left:320.85pt;margin-top:2.05pt;width:265.3pt;height:128.75pt;z-index:251658240" stroked="f">
                  <v:textbox>
                    <w:txbxContent>
                      <w:p w:rsidR="00F27503" w:rsidRDefault="00F27503" w:rsidP="00F27503">
                        <w:pPr>
                          <w:spacing w:line="460" w:lineRule="exact"/>
                          <w:rPr>
                            <w:rFonts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农业农村部种植业管理司</w:t>
                        </w:r>
                        <w:r>
                          <w:rPr>
                            <w:rFonts w:eastAsia="黑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财政部农业司</w:t>
                        </w:r>
                      </w:p>
                      <w:p w:rsidR="00F27503" w:rsidRDefault="00F27503" w:rsidP="00F27503">
                        <w:pPr>
                          <w:spacing w:line="460" w:lineRule="exact"/>
                          <w:ind w:firstLineChars="50" w:firstLine="140"/>
                          <w:jc w:val="center"/>
                          <w:rPr>
                            <w:rFonts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全国农业技术推广服务中心</w:t>
                        </w:r>
                      </w:p>
                      <w:p w:rsidR="00F27503" w:rsidRDefault="00F27503" w:rsidP="00F27503">
                        <w:pPr>
                          <w:spacing w:line="460" w:lineRule="exact"/>
                          <w:ind w:firstLineChars="50" w:firstLine="188"/>
                          <w:rPr>
                            <w:rFonts w:eastAsia="黑体"/>
                            <w:spacing w:val="48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楷体_GB2312" w:hint="eastAsia"/>
                            <w:spacing w:val="48"/>
                            <w:sz w:val="28"/>
                            <w:szCs w:val="28"/>
                          </w:rPr>
                          <w:t>××</w:t>
                        </w:r>
                        <w:r>
                          <w:rPr>
                            <w:rFonts w:eastAsia="黑体" w:hint="eastAsia"/>
                            <w:spacing w:val="48"/>
                            <w:sz w:val="28"/>
                            <w:szCs w:val="28"/>
                          </w:rPr>
                          <w:t>省农业厅</w:t>
                        </w:r>
                        <w:r>
                          <w:rPr>
                            <w:rFonts w:eastAsia="楷体_GB2312" w:hint="eastAsia"/>
                            <w:spacing w:val="48"/>
                            <w:sz w:val="28"/>
                            <w:szCs w:val="28"/>
                          </w:rPr>
                          <w:t>××</w:t>
                        </w:r>
                        <w:r>
                          <w:rPr>
                            <w:rFonts w:eastAsia="黑体" w:hint="eastAsia"/>
                            <w:spacing w:val="48"/>
                            <w:sz w:val="28"/>
                            <w:szCs w:val="28"/>
                          </w:rPr>
                          <w:t>省财政厅</w:t>
                        </w:r>
                        <w:r>
                          <w:rPr>
                            <w:rFonts w:eastAsia="黑体"/>
                            <w:spacing w:val="48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F27503" w:rsidRDefault="00F27503" w:rsidP="00F27503">
                        <w:pPr>
                          <w:spacing w:line="460" w:lineRule="exact"/>
                          <w:jc w:val="center"/>
                          <w:rPr>
                            <w:rFonts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××县农业局</w:t>
                        </w:r>
                      </w:p>
                      <w:p w:rsidR="00F27503" w:rsidRDefault="00F27503" w:rsidP="00F27503">
                        <w:pPr>
                          <w:spacing w:line="460" w:lineRule="exact"/>
                          <w:jc w:val="center"/>
                        </w:pPr>
                        <w:r>
                          <w:rPr>
                            <w:rFonts w:eastAsia="仿宋_GB2312"/>
                            <w:sz w:val="28"/>
                            <w:szCs w:val="28"/>
                          </w:rPr>
                          <w:t>2018</w:t>
                        </w: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黑体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pict>
                <v:shape id="自选图形 24" o:spid="_x0000_s1033" type="#_x0000_t62" style="position:absolute;margin-left:601.15pt;margin-top:14.15pt;width:82.6pt;height:23.4pt;z-index:251658240" adj="-11951,66231">
                  <v:textbox>
                    <w:txbxContent>
                      <w:p w:rsidR="00F27503" w:rsidRDefault="00F27503" w:rsidP="00F2750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字体：黑体</w:t>
                        </w:r>
                      </w:p>
                    </w:txbxContent>
                  </v:textbox>
                </v:shape>
              </w:pict>
            </w:r>
          </w:p>
          <w:p w:rsidR="00F27503" w:rsidRDefault="00F27503">
            <w:pPr>
              <w:spacing w:line="240" w:lineRule="atLeas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F27503" w:rsidRDefault="00F27503" w:rsidP="00F27503">
      <w:pPr>
        <w:spacing w:line="360" w:lineRule="exact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 xml:space="preserve">            注：1.标牌尺寸5米×3米，彩喷，铁架。</w:t>
      </w:r>
    </w:p>
    <w:p w:rsidR="00F27503" w:rsidRDefault="00F27503" w:rsidP="00F27503">
      <w:pPr>
        <w:spacing w:line="360" w:lineRule="exact"/>
        <w:ind w:firstLineChars="810" w:firstLine="1944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2.标牌底色、背景图案、字体大小和颜色由各省自行确定，原则上在本省范围内统一。</w:t>
      </w:r>
    </w:p>
    <w:p w:rsidR="00F27503" w:rsidRDefault="00F27503" w:rsidP="00F27503">
      <w:pPr>
        <w:widowControl/>
        <w:jc w:val="left"/>
        <w:rPr>
          <w:rFonts w:ascii="华文仿宋" w:eastAsia="华文仿宋" w:hAnsi="华文仿宋"/>
          <w:kern w:val="0"/>
          <w:sz w:val="24"/>
        </w:rPr>
        <w:sectPr w:rsidR="00F27503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F27503" w:rsidRDefault="00F27503" w:rsidP="00F27503">
      <w:pPr>
        <w:spacing w:line="60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附件3</w:t>
      </w:r>
    </w:p>
    <w:p w:rsidR="00F27503" w:rsidRDefault="00F27503" w:rsidP="00F27503">
      <w:pPr>
        <w:jc w:val="center"/>
        <w:rPr>
          <w:rFonts w:ascii="方正小标宋简体" w:eastAsia="方正小标宋简体" w:hAnsi="华文仿宋" w:hint="eastAsia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ⅩⅩ县（区）旱作节水技术项目推广落实情况统计表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6"/>
        <w:gridCol w:w="1957"/>
        <w:gridCol w:w="1957"/>
        <w:gridCol w:w="1964"/>
        <w:gridCol w:w="1956"/>
        <w:gridCol w:w="1956"/>
        <w:gridCol w:w="1959"/>
      </w:tblGrid>
      <w:tr w:rsidR="00F27503" w:rsidTr="00F27503">
        <w:trPr>
          <w:trHeight w:val="1007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县（区）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地膜覆盖模式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cs="Arial" w:hint="eastAsia"/>
                <w:sz w:val="32"/>
                <w:szCs w:val="32"/>
              </w:rPr>
              <w:t>节水集成技术或</w:t>
            </w:r>
            <w:r>
              <w:rPr>
                <w:rFonts w:ascii="仿宋_GB2312" w:eastAsia="仿宋_GB2312" w:hAnsi="华文仿宋" w:hint="eastAsia"/>
                <w:sz w:val="30"/>
                <w:szCs w:val="30"/>
              </w:rPr>
              <w:t>水肥一体化</w:t>
            </w:r>
          </w:p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补灌模式</w:t>
            </w:r>
          </w:p>
        </w:tc>
      </w:tr>
      <w:tr w:rsidR="00F27503" w:rsidTr="00F27503">
        <w:trPr>
          <w:trHeight w:val="75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地点</w:t>
            </w:r>
          </w:p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（乡镇）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作物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面积</w:t>
            </w:r>
          </w:p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（万亩）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地点</w:t>
            </w:r>
          </w:p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（乡镇）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作物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面积</w:t>
            </w:r>
          </w:p>
          <w:p w:rsidR="00F27503" w:rsidRDefault="00F27503">
            <w:pPr>
              <w:spacing w:line="50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（万亩）</w:t>
            </w: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F27503" w:rsidTr="00F2750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合  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 /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 /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3" w:rsidRDefault="00F27503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F27503" w:rsidRDefault="00F27503" w:rsidP="00F27503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p w:rsidR="00F27503" w:rsidRDefault="00F27503" w:rsidP="00F2750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27503" w:rsidRDefault="00F27503" w:rsidP="00F27503">
      <w:pPr>
        <w:spacing w:line="500" w:lineRule="exact"/>
        <w:jc w:val="center"/>
        <w:rPr>
          <w:rFonts w:ascii="方正小标宋简体" w:eastAsia="方正小标宋简体" w:hAnsi="华文仿宋" w:cs="方正小标宋简体" w:hint="eastAsia"/>
          <w:sz w:val="44"/>
          <w:szCs w:val="44"/>
        </w:rPr>
      </w:pPr>
      <w:r>
        <w:rPr>
          <w:rFonts w:ascii="方正小标宋简体" w:eastAsia="方正小标宋简体" w:hAnsi="华文仿宋" w:cs="方正小标宋简体" w:hint="eastAsia"/>
          <w:sz w:val="44"/>
          <w:szCs w:val="44"/>
        </w:rPr>
        <w:t>2018年旱作农业技术推广项目县区考核表</w:t>
      </w:r>
    </w:p>
    <w:p w:rsidR="00F27503" w:rsidRDefault="00F27503" w:rsidP="00F27503">
      <w:pPr>
        <w:spacing w:line="300" w:lineRule="exact"/>
        <w:jc w:val="center"/>
        <w:rPr>
          <w:rFonts w:ascii="华文仿宋" w:eastAsia="华文仿宋" w:hAnsi="华文仿宋" w:cs="方正小标宋简体" w:hint="eastAsia"/>
          <w:sz w:val="44"/>
          <w:szCs w:val="4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2519"/>
        <w:gridCol w:w="9279"/>
      </w:tblGrid>
      <w:tr w:rsidR="00F27503" w:rsidTr="00F27503">
        <w:trPr>
          <w:trHeight w:val="30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考核项目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考核内容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具体内容及评分标准</w:t>
            </w:r>
          </w:p>
        </w:tc>
      </w:tr>
      <w:tr w:rsidR="00F27503" w:rsidTr="00F27503">
        <w:trPr>
          <w:trHeight w:val="50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一、组织管理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（10分）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1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组织领导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（5分）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成立旱作农业技术推广工作组，得5分，不成立的不得分。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1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专家指导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（5分）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成立旱作农业技术推广专家指导组，得5分，不成立的不得分。</w:t>
            </w:r>
          </w:p>
        </w:tc>
      </w:tr>
      <w:tr w:rsidR="00F27503" w:rsidTr="00F2750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二、项目实施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（35分）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2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标示标牌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每个示范区均设立统一规范的项目标牌，得10分，每1个示范区未设立标牌扣2分，扣完为止。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2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检查指导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（15分）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项目实施期间组织项目检查、专家指导不少于2次，得5分，否则不得分。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仿宋"/>
              </w:rPr>
            </w:pP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制定县区级旱作农业技术推广指导意见或方案，得5分，否则不得分。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仿宋"/>
              </w:rPr>
            </w:pP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举办不少于2次县区级现场观摩或培训活动，得5分，否则不得分。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2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监督管理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设立资金使用台账，健全工作档案，得10分，否则不得分。</w:t>
            </w:r>
          </w:p>
        </w:tc>
      </w:tr>
      <w:tr w:rsidR="00F27503" w:rsidTr="00F2750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三、项目成效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（35分）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3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实施面积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（20分）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项目任务100%完成，得20分，每少完成10%扣5分，扣完为止。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3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项目成效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（15分）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各项效益指标100%完成，得15分；每一项不达标扣5分，扣完为止。</w:t>
            </w:r>
          </w:p>
        </w:tc>
      </w:tr>
      <w:tr w:rsidR="00F27503" w:rsidTr="00F2750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四、项目总结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（20分）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4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项目总结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按时上报全年项目实施总结，质量符合要求，得10分，否则不得分。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墒情监测和新技术新产品试验示范（10分）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 xml:space="preserve"> 按时开展土壤墒情监测工作，及时上报监测数据得6分，否则不得分；并发布墒情信息简报得8分；</w:t>
            </w:r>
          </w:p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做好旱作节水农业新技术新产品试验示范，得2分，否则不得分；</w:t>
            </w:r>
          </w:p>
        </w:tc>
      </w:tr>
      <w:tr w:rsidR="00F27503" w:rsidTr="00F2750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  <w:r>
              <w:rPr>
                <w:rFonts w:ascii="仿宋_GB2312" w:eastAsia="仿宋_GB2312" w:hAnsi="华文仿宋" w:cs="黑体" w:hint="eastAsia"/>
              </w:rPr>
              <w:t>五、奖惩措施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5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加分因素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（10分）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获得省部级以上领导肯定性批示，加5分。</w:t>
            </w:r>
          </w:p>
        </w:tc>
      </w:tr>
      <w:tr w:rsidR="00F27503" w:rsidTr="00F2750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仿宋"/>
              </w:rPr>
            </w:pP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在当地或以上电视台新闻联播、焦点访谈栏目中正面宣传报道，加5分。</w:t>
            </w:r>
          </w:p>
        </w:tc>
      </w:tr>
      <w:tr w:rsidR="00F27503" w:rsidTr="00F27503">
        <w:trPr>
          <w:trHeight w:val="421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widowControl/>
              <w:jc w:val="left"/>
              <w:rPr>
                <w:rFonts w:ascii="仿宋_GB2312" w:eastAsia="仿宋_GB2312" w:hAnsi="华文仿宋" w:cs="黑体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03" w:rsidRDefault="00F27503" w:rsidP="00977B12">
            <w:pPr>
              <w:numPr>
                <w:ilvl w:val="0"/>
                <w:numId w:val="5"/>
              </w:numPr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扣分因素</w:t>
            </w:r>
          </w:p>
          <w:p w:rsidR="00F27503" w:rsidRDefault="00F27503">
            <w:pPr>
              <w:spacing w:line="280" w:lineRule="exact"/>
              <w:jc w:val="center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（不设限）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3" w:rsidRDefault="00F27503">
            <w:pPr>
              <w:spacing w:line="280" w:lineRule="exact"/>
              <w:rPr>
                <w:rFonts w:ascii="仿宋_GB2312" w:eastAsia="仿宋_GB2312" w:hAnsi="华文仿宋" w:cs="仿宋"/>
              </w:rPr>
            </w:pPr>
            <w:r>
              <w:rPr>
                <w:rFonts w:ascii="仿宋_GB2312" w:eastAsia="仿宋_GB2312" w:hAnsi="华文仿宋" w:cs="仿宋" w:hint="eastAsia"/>
              </w:rPr>
              <w:t>出现资金使用违规，被群众举报、媒体曝光并查实的，每出现1次扣10分。</w:t>
            </w:r>
          </w:p>
        </w:tc>
      </w:tr>
    </w:tbl>
    <w:p w:rsidR="00F27503" w:rsidRDefault="00F27503" w:rsidP="00F27503">
      <w:pPr>
        <w:rPr>
          <w:rFonts w:ascii="华文仿宋" w:eastAsia="华文仿宋" w:hAnsi="华文仿宋" w:hint="eastAsia"/>
        </w:rPr>
      </w:pPr>
    </w:p>
    <w:p w:rsidR="00C83F92" w:rsidRDefault="00C83F92"/>
    <w:sectPr w:rsidR="00C83F92" w:rsidSect="00F275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D10F"/>
    <w:multiLevelType w:val="singleLevel"/>
    <w:tmpl w:val="5966D10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966D1EC"/>
    <w:multiLevelType w:val="singleLevel"/>
    <w:tmpl w:val="5966D1EC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5966D40F"/>
    <w:multiLevelType w:val="singleLevel"/>
    <w:tmpl w:val="5966D40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966D43B"/>
    <w:multiLevelType w:val="singleLevel"/>
    <w:tmpl w:val="5966D43B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4">
    <w:nsid w:val="5966D472"/>
    <w:multiLevelType w:val="singleLevel"/>
    <w:tmpl w:val="5966D47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503"/>
    <w:rsid w:val="0015281F"/>
    <w:rsid w:val="00C83F92"/>
    <w:rsid w:val="00F2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自选图形 22"/>
        <o:r id="V:Rule2" type="callout" idref="#自选图形 19"/>
        <o:r id="V:Rule3" type="callout" idref="#自选图形 20"/>
        <o:r id="V:Rule4" type="callout" idref="#自选图形 21"/>
        <o:r id="V:Rule5" type="callout" idref="#自选图形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张龙龙</dc:creator>
  <cp:lastModifiedBy>张龙龙</cp:lastModifiedBy>
  <cp:revision>1</cp:revision>
  <dcterms:created xsi:type="dcterms:W3CDTF">2019-11-25T09:24:00Z</dcterms:created>
  <dcterms:modified xsi:type="dcterms:W3CDTF">2019-11-25T09:25:00Z</dcterms:modified>
</cp:coreProperties>
</file>