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58" w:rsidRDefault="009B2D58" w:rsidP="009B2D58">
      <w:pPr>
        <w:widowControl/>
        <w:jc w:val="left"/>
        <w:textAlignment w:val="center"/>
        <w:rPr>
          <w:rFonts w:ascii="黑体" w:eastAsia="黑体" w:hAnsi="黑体" w:cs="华文中宋"/>
          <w:color w:val="000000"/>
          <w:sz w:val="32"/>
          <w:szCs w:val="32"/>
        </w:rPr>
      </w:pPr>
      <w:r>
        <w:rPr>
          <w:rFonts w:ascii="黑体" w:eastAsia="黑体" w:hAnsi="黑体" w:cs="华文中宋" w:hint="eastAsia"/>
          <w:color w:val="000000"/>
          <w:sz w:val="32"/>
          <w:szCs w:val="32"/>
        </w:rPr>
        <w:t>附件1</w:t>
      </w:r>
    </w:p>
    <w:p w:rsidR="009B2D58" w:rsidRDefault="009B2D58" w:rsidP="009B2D58">
      <w:pPr>
        <w:widowControl/>
        <w:jc w:val="left"/>
        <w:textAlignment w:val="center"/>
        <w:rPr>
          <w:rFonts w:ascii="黑体" w:eastAsia="黑体" w:hAnsi="黑体" w:cs="华文中宋" w:hint="eastAsia"/>
          <w:color w:val="000000"/>
          <w:sz w:val="32"/>
          <w:szCs w:val="32"/>
        </w:rPr>
      </w:pPr>
    </w:p>
    <w:p w:rsidR="009B2D58" w:rsidRDefault="009B2D58" w:rsidP="009B2D58">
      <w:pPr>
        <w:widowControl/>
        <w:jc w:val="center"/>
        <w:rPr>
          <w:rFonts w:ascii="黑体" w:eastAsia="黑体" w:hAnsi="黑体" w:cs="宋体" w:hint="eastAsia"/>
          <w:color w:val="000000"/>
          <w:kern w:val="0"/>
          <w:sz w:val="44"/>
          <w:szCs w:val="44"/>
        </w:rPr>
      </w:pPr>
      <w:r>
        <w:rPr>
          <w:rFonts w:ascii="黑体" w:eastAsia="黑体" w:hAnsi="黑体" w:cs="宋体" w:hint="eastAsia"/>
          <w:color w:val="000000"/>
          <w:kern w:val="0"/>
          <w:sz w:val="44"/>
          <w:szCs w:val="44"/>
        </w:rPr>
        <w:t>2022年冷链设施建设意向统计表</w:t>
      </w:r>
    </w:p>
    <w:p w:rsidR="009B2D58" w:rsidRDefault="009B2D58" w:rsidP="009B2D58">
      <w:pPr>
        <w:widowControl/>
        <w:jc w:val="center"/>
        <w:rPr>
          <w:rFonts w:ascii="黑体" w:eastAsia="黑体" w:hAnsi="黑体" w:hint="eastAsia"/>
          <w:sz w:val="24"/>
          <w:szCs w:val="24"/>
        </w:rPr>
      </w:pPr>
    </w:p>
    <w:p w:rsidR="009B2D58" w:rsidRDefault="009B2D58" w:rsidP="009B2D58">
      <w:pPr>
        <w:widowControl/>
        <w:spacing w:beforeLines="50"/>
        <w:ind w:firstLineChars="300" w:firstLine="720"/>
        <w:jc w:val="left"/>
        <w:rPr>
          <w:rFonts w:ascii="仿宋_GB2312" w:eastAsia="仿宋_GB2312" w:hint="eastAsia"/>
          <w:sz w:val="24"/>
          <w:szCs w:val="24"/>
        </w:rPr>
      </w:pPr>
      <w:r>
        <w:rPr>
          <w:rFonts w:ascii="仿宋_GB2312" w:eastAsia="仿宋_GB2312" w:hAnsi="宋体" w:cs="宋体" w:hint="eastAsia"/>
          <w:color w:val="000000"/>
          <w:kern w:val="0"/>
          <w:sz w:val="24"/>
          <w:szCs w:val="24"/>
        </w:rPr>
        <w:t>填表单位（盖章）：                                             填表时间：</w:t>
      </w:r>
    </w:p>
    <w:tbl>
      <w:tblPr>
        <w:tblW w:w="5000" w:type="pct"/>
        <w:tblLook w:val="04A0"/>
      </w:tblPr>
      <w:tblGrid>
        <w:gridCol w:w="644"/>
        <w:gridCol w:w="772"/>
        <w:gridCol w:w="1049"/>
        <w:gridCol w:w="1184"/>
        <w:gridCol w:w="1310"/>
        <w:gridCol w:w="1575"/>
        <w:gridCol w:w="1187"/>
        <w:gridCol w:w="1181"/>
        <w:gridCol w:w="1181"/>
        <w:gridCol w:w="1052"/>
        <w:gridCol w:w="1181"/>
        <w:gridCol w:w="982"/>
        <w:gridCol w:w="694"/>
      </w:tblGrid>
      <w:tr w:rsidR="009B2D58" w:rsidTr="009B2D58">
        <w:trPr>
          <w:trHeight w:val="1020"/>
        </w:trPr>
        <w:tc>
          <w:tcPr>
            <w:tcW w:w="230"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276"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县区</w:t>
            </w:r>
          </w:p>
        </w:tc>
        <w:tc>
          <w:tcPr>
            <w:tcW w:w="375"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仿宋"/>
                <w:color w:val="000000"/>
                <w:kern w:val="0"/>
                <w:sz w:val="24"/>
                <w:szCs w:val="24"/>
              </w:rPr>
            </w:pPr>
            <w:r>
              <w:rPr>
                <w:rFonts w:ascii="黑体" w:eastAsia="黑体" w:hAnsi="黑体" w:cs="仿宋" w:hint="eastAsia"/>
                <w:color w:val="000000"/>
                <w:kern w:val="0"/>
                <w:sz w:val="24"/>
                <w:szCs w:val="24"/>
              </w:rPr>
              <w:t>建设主体名称</w:t>
            </w:r>
          </w:p>
        </w:tc>
        <w:tc>
          <w:tcPr>
            <w:tcW w:w="423"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主体类型</w:t>
            </w:r>
          </w:p>
        </w:tc>
        <w:tc>
          <w:tcPr>
            <w:tcW w:w="468"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仿宋"/>
                <w:color w:val="000000"/>
                <w:kern w:val="0"/>
                <w:sz w:val="24"/>
                <w:szCs w:val="24"/>
              </w:rPr>
            </w:pPr>
            <w:r>
              <w:rPr>
                <w:rFonts w:ascii="黑体" w:eastAsia="黑体" w:hAnsi="黑体" w:cs="仿宋" w:hint="eastAsia"/>
                <w:color w:val="000000"/>
                <w:kern w:val="0"/>
                <w:sz w:val="24"/>
                <w:szCs w:val="24"/>
              </w:rPr>
              <w:t>主体等级是否符合要求</w:t>
            </w:r>
          </w:p>
        </w:tc>
        <w:tc>
          <w:tcPr>
            <w:tcW w:w="563"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仿宋"/>
                <w:color w:val="000000"/>
                <w:kern w:val="0"/>
                <w:sz w:val="24"/>
                <w:szCs w:val="24"/>
              </w:rPr>
            </w:pPr>
            <w:r>
              <w:rPr>
                <w:rFonts w:ascii="黑体" w:eastAsia="黑体" w:hAnsi="黑体" w:cs="宋体" w:hint="eastAsia"/>
                <w:color w:val="000000"/>
                <w:kern w:val="0"/>
                <w:sz w:val="24"/>
                <w:szCs w:val="24"/>
              </w:rPr>
              <w:t>拟建地址</w:t>
            </w:r>
          </w:p>
        </w:tc>
        <w:tc>
          <w:tcPr>
            <w:tcW w:w="424"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仿宋"/>
                <w:color w:val="000000"/>
                <w:kern w:val="0"/>
                <w:sz w:val="24"/>
                <w:szCs w:val="24"/>
              </w:rPr>
            </w:pPr>
            <w:r>
              <w:rPr>
                <w:rFonts w:ascii="黑体" w:eastAsia="黑体" w:hAnsi="黑体" w:cs="仿宋" w:hint="eastAsia"/>
                <w:color w:val="000000"/>
                <w:kern w:val="0"/>
                <w:sz w:val="24"/>
                <w:szCs w:val="24"/>
              </w:rPr>
              <w:t>冷库类型</w:t>
            </w:r>
          </w:p>
        </w:tc>
        <w:tc>
          <w:tcPr>
            <w:tcW w:w="422" w:type="pct"/>
            <w:tcBorders>
              <w:top w:val="single" w:sz="4" w:space="0" w:color="auto"/>
              <w:left w:val="nil"/>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仿宋" w:hint="eastAsia"/>
                <w:color w:val="000000"/>
                <w:kern w:val="0"/>
                <w:sz w:val="24"/>
                <w:szCs w:val="24"/>
              </w:rPr>
              <w:t>冷库容积（吨）</w:t>
            </w:r>
          </w:p>
        </w:tc>
        <w:tc>
          <w:tcPr>
            <w:tcW w:w="422"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包含单体库个数</w:t>
            </w:r>
          </w:p>
        </w:tc>
        <w:tc>
          <w:tcPr>
            <w:tcW w:w="376" w:type="pct"/>
            <w:tcBorders>
              <w:top w:val="single" w:sz="4" w:space="0" w:color="auto"/>
              <w:left w:val="nil"/>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新建/改扩建</w:t>
            </w:r>
          </w:p>
        </w:tc>
        <w:tc>
          <w:tcPr>
            <w:tcW w:w="422" w:type="pct"/>
            <w:tcBorders>
              <w:top w:val="single" w:sz="4" w:space="0" w:color="auto"/>
              <w:left w:val="nil"/>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仿宋" w:hint="eastAsia"/>
                <w:color w:val="000000"/>
                <w:kern w:val="0"/>
                <w:sz w:val="24"/>
                <w:szCs w:val="24"/>
              </w:rPr>
              <w:t>预计总造价（万元）</w:t>
            </w:r>
          </w:p>
        </w:tc>
        <w:tc>
          <w:tcPr>
            <w:tcW w:w="351"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计划贮藏产品</w:t>
            </w:r>
          </w:p>
        </w:tc>
        <w:tc>
          <w:tcPr>
            <w:tcW w:w="248"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备注</w:t>
            </w: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9B2D58" w:rsidRDefault="009B2D58">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是/否</w:t>
            </w: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hideMark/>
          </w:tcPr>
          <w:p w:rsidR="009B2D58" w:rsidRDefault="009B2D58">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只填数字</w:t>
            </w: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hideMark/>
          </w:tcPr>
          <w:p w:rsidR="009B2D58" w:rsidRDefault="009B2D58">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只填数字</w:t>
            </w: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r w:rsidR="009B2D58" w:rsidTr="009B2D58">
        <w:trPr>
          <w:trHeight w:val="499"/>
        </w:trPr>
        <w:tc>
          <w:tcPr>
            <w:tcW w:w="230"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黑体" w:eastAsia="黑体" w:hAnsi="黑体" w:cs="仿宋"/>
                <w:color w:val="000000"/>
                <w:kern w:val="0"/>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6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4"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76"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422" w:type="pct"/>
            <w:tcBorders>
              <w:top w:val="nil"/>
              <w:left w:val="nil"/>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351"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c>
          <w:tcPr>
            <w:tcW w:w="248" w:type="pct"/>
            <w:tcBorders>
              <w:top w:val="single" w:sz="4" w:space="0" w:color="auto"/>
              <w:left w:val="single" w:sz="4" w:space="0" w:color="auto"/>
              <w:bottom w:val="single" w:sz="4" w:space="0" w:color="auto"/>
              <w:right w:val="single" w:sz="4" w:space="0" w:color="auto"/>
            </w:tcBorders>
            <w:vAlign w:val="center"/>
          </w:tcPr>
          <w:p w:rsidR="009B2D58" w:rsidRDefault="009B2D58">
            <w:pPr>
              <w:widowControl/>
              <w:jc w:val="center"/>
              <w:rPr>
                <w:rFonts w:ascii="仿宋_GB2312" w:eastAsia="仿宋_GB2312" w:hAnsi="宋体" w:cs="宋体"/>
                <w:color w:val="000000"/>
                <w:kern w:val="0"/>
                <w:sz w:val="24"/>
                <w:szCs w:val="24"/>
              </w:rPr>
            </w:pPr>
          </w:p>
        </w:tc>
      </w:tr>
    </w:tbl>
    <w:p w:rsidR="009B2D58" w:rsidRDefault="009B2D58" w:rsidP="009B2D58">
      <w:pPr>
        <w:widowControl/>
        <w:ind w:leftChars="156" w:left="1048" w:hangingChars="300" w:hanging="720"/>
        <w:jc w:val="left"/>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填报人：                                                          联系电话：</w:t>
      </w:r>
    </w:p>
    <w:p w:rsidR="009B2D58" w:rsidRDefault="009B2D58" w:rsidP="009B2D58">
      <w:pPr>
        <w:widowControl/>
        <w:ind w:firstLineChars="150" w:firstLine="360"/>
        <w:jc w:val="left"/>
        <w:textAlignment w:val="center"/>
        <w:rPr>
          <w:rFonts w:ascii="仿宋_GB2312" w:eastAsia="仿宋_GB2312" w:hAnsi="宋体" w:cs="宋体" w:hint="eastAsia"/>
          <w:color w:val="000000"/>
          <w:kern w:val="0"/>
          <w:sz w:val="24"/>
          <w:szCs w:val="24"/>
        </w:rPr>
      </w:pPr>
    </w:p>
    <w:p w:rsidR="009B2D58" w:rsidRDefault="009B2D58" w:rsidP="009B2D58">
      <w:pPr>
        <w:widowControl/>
        <w:ind w:firstLineChars="150" w:firstLine="360"/>
        <w:jc w:val="left"/>
        <w:textAlignment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备注：1.每个库群填写一行，若一个主体建设两个及以上库群，请依次填写；2.冷库类型包括：贮藏窖、通风库、冷藏库、预冷库、气调库等；3.主体类型包括：家庭农场、农民合作社、农村股份经济合作社组织、农垦农场等；4.预计总造价包含符合该县区统一要求的配套设施；5.请严格按照表格要求填写，请勿空项、缺项。</w:t>
      </w:r>
    </w:p>
    <w:p w:rsidR="009B2D58" w:rsidRDefault="009B2D58" w:rsidP="009B2D58">
      <w:pPr>
        <w:widowControl/>
        <w:jc w:val="left"/>
        <w:rPr>
          <w:rFonts w:ascii="仿宋_GB2312" w:eastAsia="仿宋_GB2312" w:hAnsi="Times New Roman" w:cs="Times New Roman"/>
          <w:kern w:val="0"/>
          <w:sz w:val="32"/>
          <w:szCs w:val="32"/>
        </w:rPr>
        <w:sectPr w:rsidR="009B2D58">
          <w:pgSz w:w="16838" w:h="11906" w:orient="landscape"/>
          <w:pgMar w:top="1871" w:right="1531" w:bottom="1474" w:left="1531" w:header="851" w:footer="1134" w:gutter="0"/>
          <w:cols w:space="720"/>
        </w:sectPr>
      </w:pPr>
    </w:p>
    <w:p w:rsidR="009B2D58" w:rsidRDefault="009B2D58" w:rsidP="009B2D58">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lastRenderedPageBreak/>
        <w:t>附件2</w:t>
      </w:r>
    </w:p>
    <w:p w:rsidR="009B2D58" w:rsidRDefault="009B2D58" w:rsidP="009B2D58">
      <w:pPr>
        <w:spacing w:line="600" w:lineRule="exact"/>
        <w:rPr>
          <w:rFonts w:ascii="黑体" w:eastAsia="黑体" w:hAnsi="黑体" w:cs="Times New Roman" w:hint="eastAsia"/>
          <w:sz w:val="32"/>
          <w:szCs w:val="32"/>
        </w:rPr>
      </w:pPr>
    </w:p>
    <w:p w:rsidR="009B2D58" w:rsidRDefault="009B2D58" w:rsidP="009B2D58">
      <w:pPr>
        <w:spacing w:line="600" w:lineRule="exact"/>
        <w:jc w:val="center"/>
        <w:rPr>
          <w:rFonts w:ascii="黑体" w:eastAsia="黑体" w:hAnsi="黑体" w:cs="Times New Roman" w:hint="eastAsia"/>
          <w:sz w:val="44"/>
          <w:szCs w:val="32"/>
        </w:rPr>
      </w:pPr>
      <w:r>
        <w:rPr>
          <w:rFonts w:ascii="黑体" w:eastAsia="黑体" w:hAnsi="黑体" w:cs="Times New Roman" w:hint="eastAsia"/>
          <w:sz w:val="44"/>
          <w:szCs w:val="32"/>
        </w:rPr>
        <w:t>农产品产地冷藏保鲜整县推进实施方案模版</w:t>
      </w:r>
    </w:p>
    <w:p w:rsidR="009B2D58" w:rsidRDefault="009B2D58" w:rsidP="009B2D58">
      <w:pPr>
        <w:spacing w:line="600" w:lineRule="exact"/>
        <w:jc w:val="center"/>
        <w:rPr>
          <w:rFonts w:ascii="黑体" w:eastAsia="黑体" w:hAnsi="黑体" w:cs="Times New Roman" w:hint="eastAsia"/>
          <w:sz w:val="44"/>
          <w:szCs w:val="32"/>
        </w:rPr>
      </w:pPr>
    </w:p>
    <w:p w:rsidR="009B2D58" w:rsidRDefault="009B2D58" w:rsidP="009B2D58">
      <w:pPr>
        <w:adjustRightInd w:val="0"/>
        <w:snapToGrid w:val="0"/>
        <w:spacing w:line="600" w:lineRule="exact"/>
        <w:ind w:firstLineChars="200" w:firstLine="605"/>
        <w:rPr>
          <w:rFonts w:ascii="黑体" w:eastAsia="黑体" w:hAnsi="黑体" w:cs="黑体" w:hint="eastAsia"/>
          <w:w w:val="95"/>
          <w:sz w:val="36"/>
          <w:szCs w:val="36"/>
        </w:rPr>
      </w:pPr>
      <w:r>
        <w:rPr>
          <w:rFonts w:ascii="黑体" w:eastAsia="黑体" w:hAnsi="黑体" w:cs="黑体" w:hint="eastAsia"/>
          <w:w w:val="95"/>
          <w:sz w:val="32"/>
          <w:szCs w:val="32"/>
        </w:rPr>
        <w:t>一、申报县市基本情况（县域经济社会发展基本情况、第一产业和特色主导产业总体情况等）</w:t>
      </w:r>
    </w:p>
    <w:p w:rsidR="009B2D58" w:rsidRDefault="009B2D58" w:rsidP="009B2D58">
      <w:pPr>
        <w:adjustRightInd w:val="0"/>
        <w:snapToGrid w:val="0"/>
        <w:spacing w:line="600" w:lineRule="exact"/>
        <w:ind w:firstLineChars="200" w:firstLine="605"/>
        <w:rPr>
          <w:rFonts w:ascii="黑体" w:eastAsia="黑体" w:hAnsi="黑体" w:cs="黑体" w:hint="eastAsia"/>
          <w:w w:val="95"/>
          <w:sz w:val="32"/>
          <w:szCs w:val="32"/>
        </w:rPr>
      </w:pPr>
      <w:r>
        <w:rPr>
          <w:rFonts w:ascii="黑体" w:eastAsia="黑体" w:hAnsi="黑体" w:cs="黑体" w:hint="eastAsia"/>
          <w:w w:val="95"/>
          <w:sz w:val="32"/>
          <w:szCs w:val="32"/>
        </w:rPr>
        <w:t>二、申报县市农产品仓储保鲜冷链物流发展情况</w:t>
      </w:r>
    </w:p>
    <w:p w:rsidR="009B2D58" w:rsidRDefault="009B2D58" w:rsidP="009B2D58">
      <w:pPr>
        <w:spacing w:line="600" w:lineRule="exact"/>
        <w:ind w:firstLineChars="200" w:firstLine="640"/>
        <w:rPr>
          <w:rFonts w:ascii="仿宋_GB2312" w:eastAsia="仿宋_GB2312" w:hAnsi="Times New Roman" w:hint="eastAsia"/>
          <w:sz w:val="32"/>
          <w:szCs w:val="32"/>
        </w:rPr>
      </w:pPr>
      <w:r>
        <w:rPr>
          <w:rFonts w:ascii="楷体_GB2312" w:eastAsia="楷体_GB2312" w:hAnsi="Times New Roman" w:hint="eastAsia"/>
          <w:sz w:val="32"/>
          <w:szCs w:val="32"/>
        </w:rPr>
        <w:t>（一）</w:t>
      </w:r>
      <w:r>
        <w:rPr>
          <w:rFonts w:ascii="仿宋_GB2312" w:eastAsia="仿宋_GB2312" w:hAnsi="Times New Roman" w:hint="eastAsia"/>
          <w:sz w:val="32"/>
          <w:szCs w:val="32"/>
        </w:rPr>
        <w:t>进一步说明不同类型冷藏设施（贮藏窖、通风库、高温库、气调库、预冷库、低温库）和冷藏车的数量、库容（吨），配套清洗、分级、包装等生产线数量、作业能力。并概述农产品产地批发市场（含田头市场）、邮政快递企业、大型电商物流企业等发展情况（尽量量化）。</w:t>
      </w:r>
    </w:p>
    <w:p w:rsidR="009B2D58" w:rsidRDefault="009B2D58" w:rsidP="009B2D58">
      <w:pPr>
        <w:spacing w:line="600" w:lineRule="exact"/>
        <w:ind w:firstLineChars="200" w:firstLine="640"/>
        <w:rPr>
          <w:rFonts w:ascii="仿宋_GB2312" w:eastAsia="仿宋_GB2312" w:hAnsi="仿宋_GB2312" w:cs="仿宋_GB2312" w:hint="eastAsia"/>
          <w:color w:val="FF0000"/>
        </w:rPr>
      </w:pPr>
      <w:r>
        <w:rPr>
          <w:rFonts w:ascii="楷体_GB2312" w:eastAsia="楷体_GB2312" w:hAnsi="Times New Roman" w:hint="eastAsia"/>
          <w:sz w:val="32"/>
          <w:szCs w:val="32"/>
        </w:rPr>
        <w:t>（二）</w:t>
      </w:r>
      <w:r>
        <w:rPr>
          <w:rFonts w:ascii="仿宋_GB2312" w:eastAsia="仿宋_GB2312" w:hAnsi="Times New Roman" w:hint="eastAsia"/>
          <w:sz w:val="32"/>
          <w:szCs w:val="32"/>
        </w:rPr>
        <w:t>农产品冷链物流发展相关规划或实施方案的制定发布情况。</w:t>
      </w:r>
    </w:p>
    <w:p w:rsidR="009B2D58" w:rsidRDefault="009B2D58" w:rsidP="009B2D58">
      <w:pPr>
        <w:adjustRightInd w:val="0"/>
        <w:snapToGrid w:val="0"/>
        <w:spacing w:line="600" w:lineRule="exact"/>
        <w:ind w:firstLineChars="200" w:firstLine="605"/>
        <w:rPr>
          <w:rFonts w:ascii="黑体" w:eastAsia="黑体" w:hAnsi="黑体" w:cs="黑体" w:hint="eastAsia"/>
          <w:w w:val="95"/>
          <w:sz w:val="32"/>
          <w:szCs w:val="32"/>
        </w:rPr>
      </w:pPr>
      <w:r>
        <w:rPr>
          <w:rFonts w:ascii="黑体" w:eastAsia="黑体" w:hAnsi="黑体" w:cs="黑体" w:hint="eastAsia"/>
          <w:w w:val="95"/>
          <w:sz w:val="32"/>
          <w:szCs w:val="32"/>
        </w:rPr>
        <w:t>三、申报县市农产品仓储保鲜冷链物流发展优势（产业发展、质量控制、利益机制和管理保障等）</w:t>
      </w:r>
    </w:p>
    <w:p w:rsidR="009B2D58" w:rsidRDefault="009B2D58" w:rsidP="009B2D58">
      <w:pPr>
        <w:spacing w:line="600" w:lineRule="exact"/>
        <w:ind w:firstLineChars="200" w:firstLine="640"/>
        <w:rPr>
          <w:rFonts w:hint="eastAsia"/>
        </w:rPr>
      </w:pPr>
      <w:r>
        <w:rPr>
          <w:rFonts w:ascii="楷体_GB2312" w:eastAsia="楷体_GB2312" w:hAnsi="Times New Roman" w:hint="eastAsia"/>
          <w:sz w:val="32"/>
          <w:szCs w:val="32"/>
        </w:rPr>
        <w:t>（一）</w:t>
      </w:r>
      <w:r>
        <w:rPr>
          <w:rFonts w:ascii="仿宋_GB2312" w:eastAsia="仿宋_GB2312" w:hAnsi="Times New Roman" w:hint="eastAsia"/>
          <w:sz w:val="32"/>
          <w:szCs w:val="32"/>
        </w:rPr>
        <w:t>产业发展优势围绕主导产业生产、质量安全控制、标准体系建设、品牌培育、社会化服务体系、主体与农产品批发市场、邮政快递企业、大型电商物流企业等形成合作关系、水电路网等农业基础设施条件等方面开展论述。明确产业规模（含产量）、省内排名、冷链需求、农产品质量安全抽检合格率、区域公用品牌名称、产地批发市场数量等量化</w:t>
      </w:r>
      <w:r>
        <w:rPr>
          <w:rFonts w:ascii="仿宋_GB2312" w:eastAsia="仿宋_GB2312" w:hAnsi="Times New Roman" w:hint="eastAsia"/>
          <w:sz w:val="32"/>
          <w:szCs w:val="32"/>
        </w:rPr>
        <w:lastRenderedPageBreak/>
        <w:t>指标。</w:t>
      </w:r>
    </w:p>
    <w:p w:rsidR="009B2D58" w:rsidRDefault="009B2D58" w:rsidP="009B2D58">
      <w:pPr>
        <w:adjustRightInd w:val="0"/>
        <w:snapToGrid w:val="0"/>
        <w:spacing w:line="600" w:lineRule="exact"/>
        <w:ind w:firstLineChars="200" w:firstLine="605"/>
        <w:rPr>
          <w:rFonts w:ascii="黑体" w:eastAsia="黑体" w:hAnsi="黑体" w:cs="黑体"/>
          <w:w w:val="95"/>
          <w:sz w:val="32"/>
          <w:szCs w:val="32"/>
        </w:rPr>
      </w:pPr>
      <w:r>
        <w:rPr>
          <w:rFonts w:ascii="黑体" w:eastAsia="黑体" w:hAnsi="黑体" w:cs="黑体" w:hint="eastAsia"/>
          <w:w w:val="95"/>
          <w:sz w:val="32"/>
          <w:szCs w:val="32"/>
        </w:rPr>
        <w:t>四、申报县市下一步工作思路（从政策支持、工作力量和发展模式等方面推进试点县重点任务完成）</w:t>
      </w:r>
    </w:p>
    <w:p w:rsidR="009B2D58" w:rsidRDefault="009B2D58" w:rsidP="009B2D58">
      <w:pPr>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进一步明确工作计划，明确目标任务，有效落实《通知》中各项任务情况。冷链物流发展思路、目标与模式，具体工作计划、工作程序、培训指导等内容。</w:t>
      </w:r>
    </w:p>
    <w:p w:rsidR="009B2D58" w:rsidRDefault="009B2D58" w:rsidP="009B2D58">
      <w:pPr>
        <w:spacing w:line="600" w:lineRule="exact"/>
        <w:ind w:firstLineChars="200" w:firstLine="640"/>
        <w:rPr>
          <w:rFonts w:ascii="Times New Roman" w:hAnsi="Times New Roman" w:hint="eastAsia"/>
          <w:color w:val="FF0000"/>
          <w:sz w:val="28"/>
          <w:szCs w:val="28"/>
        </w:rPr>
      </w:pPr>
      <w:r>
        <w:rPr>
          <w:rFonts w:ascii="楷体_GB2312" w:eastAsia="楷体_GB2312" w:hAnsi="Times New Roman" w:hint="eastAsia"/>
          <w:sz w:val="32"/>
          <w:szCs w:val="32"/>
        </w:rPr>
        <w:t>（一）</w:t>
      </w:r>
      <w:r>
        <w:rPr>
          <w:rFonts w:ascii="仿宋_GB2312" w:eastAsia="仿宋_GB2312" w:hAnsi="Times New Roman" w:hint="eastAsia"/>
          <w:sz w:val="32"/>
          <w:szCs w:val="32"/>
        </w:rPr>
        <w:t>进一步明确开展建设的具体内容、建设主体及空间布局，体现围绕主导产业在重点乡镇集中建设的要求。要求填写下表，并配文字。</w:t>
      </w:r>
    </w:p>
    <w:tbl>
      <w:tblPr>
        <w:tblpPr w:leftFromText="180" w:rightFromText="180" w:vertAnchor="text" w:horzAnchor="page" w:tblpXSpec="center" w:tblpY="18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442"/>
        <w:gridCol w:w="1413"/>
        <w:gridCol w:w="1392"/>
        <w:gridCol w:w="2088"/>
        <w:gridCol w:w="1018"/>
      </w:tblGrid>
      <w:tr w:rsidR="009B2D58" w:rsidTr="009B2D58">
        <w:trPr>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地点</w:t>
            </w:r>
          </w:p>
        </w:tc>
        <w:tc>
          <w:tcPr>
            <w:tcW w:w="846"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主导产业</w:t>
            </w:r>
          </w:p>
        </w:tc>
        <w:tc>
          <w:tcPr>
            <w:tcW w:w="829"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设施类型</w:t>
            </w:r>
          </w:p>
        </w:tc>
        <w:tc>
          <w:tcPr>
            <w:tcW w:w="817"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设施数量</w:t>
            </w:r>
          </w:p>
        </w:tc>
        <w:tc>
          <w:tcPr>
            <w:tcW w:w="1225"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建设主体数量（个）</w:t>
            </w:r>
          </w:p>
        </w:tc>
        <w:tc>
          <w:tcPr>
            <w:tcW w:w="597"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奖补</w:t>
            </w:r>
          </w:p>
          <w:p w:rsidR="009B2D58" w:rsidRDefault="009B2D58">
            <w:pPr>
              <w:jc w:val="center"/>
              <w:rPr>
                <w:rFonts w:ascii="黑体" w:eastAsia="黑体" w:hAnsi="黑体" w:cs="仿宋_GB2312"/>
                <w:sz w:val="28"/>
                <w:szCs w:val="28"/>
              </w:rPr>
            </w:pPr>
            <w:r>
              <w:rPr>
                <w:rFonts w:ascii="黑体" w:eastAsia="黑体" w:hAnsi="黑体" w:cs="仿宋_GB2312" w:hint="eastAsia"/>
                <w:sz w:val="28"/>
                <w:szCs w:val="28"/>
              </w:rPr>
              <w:t>资金</w:t>
            </w:r>
          </w:p>
        </w:tc>
      </w:tr>
      <w:tr w:rsidR="009B2D58" w:rsidTr="009B2D58">
        <w:trPr>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XX镇</w:t>
            </w:r>
          </w:p>
        </w:tc>
        <w:tc>
          <w:tcPr>
            <w:tcW w:w="846"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茶叶</w:t>
            </w:r>
          </w:p>
        </w:tc>
        <w:tc>
          <w:tcPr>
            <w:tcW w:w="829"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冷藏库</w:t>
            </w:r>
          </w:p>
        </w:tc>
        <w:tc>
          <w:tcPr>
            <w:tcW w:w="817" w:type="pct"/>
            <w:tcBorders>
              <w:top w:val="single" w:sz="4" w:space="0" w:color="auto"/>
              <w:left w:val="single" w:sz="4" w:space="0" w:color="auto"/>
              <w:bottom w:val="single" w:sz="4" w:space="0" w:color="auto"/>
              <w:right w:val="single" w:sz="4" w:space="0" w:color="auto"/>
            </w:tcBorders>
            <w:vAlign w:val="center"/>
            <w:hideMark/>
          </w:tcPr>
          <w:p w:rsidR="009B2D58" w:rsidRDefault="009B2D5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22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ascii="仿宋_GB2312" w:eastAsia="仿宋_GB2312" w:hAnsi="仿宋_GB2312" w:cs="仿宋_GB2312"/>
                <w:sz w:val="28"/>
                <w:szCs w:val="28"/>
              </w:rPr>
            </w:pPr>
          </w:p>
        </w:tc>
        <w:tc>
          <w:tcPr>
            <w:tcW w:w="59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ascii="仿宋_GB2312" w:eastAsia="仿宋_GB2312" w:hAnsi="仿宋_GB2312" w:cs="仿宋_GB2312"/>
                <w:sz w:val="28"/>
                <w:szCs w:val="28"/>
              </w:rPr>
            </w:pPr>
          </w:p>
        </w:tc>
      </w:tr>
      <w:tr w:rsidR="009B2D58" w:rsidTr="009B2D58">
        <w:trPr>
          <w:trHeight w:val="454"/>
        </w:trPr>
        <w:tc>
          <w:tcPr>
            <w:tcW w:w="68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46"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29"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1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122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59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r>
      <w:tr w:rsidR="009B2D58" w:rsidTr="009B2D58">
        <w:trPr>
          <w:trHeight w:val="454"/>
        </w:trPr>
        <w:tc>
          <w:tcPr>
            <w:tcW w:w="68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46"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29"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1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122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59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r>
      <w:tr w:rsidR="009B2D58" w:rsidTr="009B2D58">
        <w:trPr>
          <w:trHeight w:val="454"/>
        </w:trPr>
        <w:tc>
          <w:tcPr>
            <w:tcW w:w="68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46"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29"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81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1225"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c>
          <w:tcPr>
            <w:tcW w:w="597" w:type="pct"/>
            <w:tcBorders>
              <w:top w:val="single" w:sz="4" w:space="0" w:color="auto"/>
              <w:left w:val="single" w:sz="4" w:space="0" w:color="auto"/>
              <w:bottom w:val="single" w:sz="4" w:space="0" w:color="auto"/>
              <w:right w:val="single" w:sz="4" w:space="0" w:color="auto"/>
            </w:tcBorders>
            <w:vAlign w:val="center"/>
          </w:tcPr>
          <w:p w:rsidR="009B2D58" w:rsidRDefault="009B2D58">
            <w:pPr>
              <w:jc w:val="center"/>
              <w:rPr>
                <w:rFonts w:eastAsia="等线"/>
              </w:rPr>
            </w:pPr>
          </w:p>
        </w:tc>
      </w:tr>
    </w:tbl>
    <w:p w:rsidR="009B2D58" w:rsidRDefault="009B2D58" w:rsidP="009B2D58">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注：1建设主体数量不能少于20个</w:t>
      </w:r>
    </w:p>
    <w:p w:rsidR="009B2D58" w:rsidRDefault="009B2D58" w:rsidP="009B2D58">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2.主导产业指果品、蔬菜、薯类、茶叶及其他地方特色品种</w:t>
      </w:r>
    </w:p>
    <w:p w:rsidR="009B2D58" w:rsidRDefault="009B2D58" w:rsidP="009B2D58">
      <w:pPr>
        <w:spacing w:line="600" w:lineRule="exact"/>
        <w:ind w:firstLineChars="200" w:firstLine="640"/>
        <w:rPr>
          <w:rFonts w:hint="eastAsia"/>
        </w:rPr>
      </w:pPr>
      <w:r>
        <w:rPr>
          <w:rFonts w:ascii="楷体_GB2312" w:eastAsia="楷体_GB2312" w:hAnsi="Times New Roman" w:hint="eastAsia"/>
          <w:sz w:val="32"/>
          <w:szCs w:val="32"/>
        </w:rPr>
        <w:t>（二）</w:t>
      </w:r>
      <w:r>
        <w:rPr>
          <w:rFonts w:ascii="仿宋_GB2312" w:eastAsia="仿宋_GB2312" w:hAnsi="Times New Roman" w:hint="eastAsia"/>
          <w:sz w:val="32"/>
          <w:szCs w:val="32"/>
        </w:rPr>
        <w:t>进一步明确农产品产地冷藏保鲜营销体系建设，发展多元化农产品营销，创新生鲜电商、蔬果宅配、前置仓、产地仓等新兴流通业态，将产地冷藏保鲜设施融入区域农产品物流体系，以提高设施利用率和产生更好的经济效益。</w:t>
      </w:r>
    </w:p>
    <w:p w:rsidR="009B2D58" w:rsidRDefault="009B2D58" w:rsidP="009B2D58">
      <w:pPr>
        <w:spacing w:line="600" w:lineRule="exact"/>
        <w:ind w:firstLineChars="200" w:firstLine="640"/>
        <w:rPr>
          <w:rFonts w:ascii="仿宋_GB2312" w:eastAsia="仿宋_GB2312" w:hAnsi="Times New Roman"/>
          <w:sz w:val="32"/>
          <w:szCs w:val="32"/>
        </w:rPr>
      </w:pPr>
      <w:r>
        <w:rPr>
          <w:rFonts w:ascii="楷体_GB2312" w:eastAsia="楷体_GB2312" w:hAnsi="Times New Roman" w:hint="eastAsia"/>
          <w:sz w:val="32"/>
          <w:szCs w:val="32"/>
        </w:rPr>
        <w:t>（三）</w:t>
      </w:r>
      <w:r>
        <w:rPr>
          <w:rFonts w:ascii="仿宋_GB2312" w:eastAsia="仿宋_GB2312" w:hAnsi="Times New Roman" w:hint="eastAsia"/>
          <w:sz w:val="32"/>
          <w:szCs w:val="32"/>
        </w:rPr>
        <w:t>进一步明确支持政策，包括用地保障（细化落实《自然资源部农业农村部 关于设施农业用地管理有关问题</w:t>
      </w:r>
      <w:r>
        <w:rPr>
          <w:rFonts w:ascii="仿宋_GB2312" w:eastAsia="仿宋_GB2312" w:hAnsi="Times New Roman" w:hint="eastAsia"/>
          <w:sz w:val="32"/>
          <w:szCs w:val="32"/>
        </w:rPr>
        <w:lastRenderedPageBreak/>
        <w:t>的通知（自然资规〔2019〕4号）》《2021自然资源部发改委农业部关于保障和规范农村一二三产业融合发展用地的通知（自然资发〔2021〕16号》文件精神）、地方奖励资金安排、金融扶持、用电政策等。</w:t>
      </w:r>
    </w:p>
    <w:p w:rsidR="009B2D58" w:rsidRDefault="009B2D58" w:rsidP="009B2D58">
      <w:pPr>
        <w:spacing w:line="600" w:lineRule="exact"/>
        <w:ind w:firstLineChars="200" w:firstLine="640"/>
        <w:rPr>
          <w:rFonts w:ascii="仿宋_GB2312" w:eastAsia="仿宋_GB2312" w:hAnsi="Times New Roman" w:hint="eastAsia"/>
          <w:sz w:val="32"/>
          <w:szCs w:val="32"/>
        </w:rPr>
      </w:pPr>
      <w:r>
        <w:rPr>
          <w:rFonts w:ascii="楷体_GB2312" w:eastAsia="楷体_GB2312" w:hAnsi="Times New Roman" w:hint="eastAsia"/>
          <w:sz w:val="32"/>
          <w:szCs w:val="32"/>
        </w:rPr>
        <w:t>（四）</w:t>
      </w:r>
      <w:r>
        <w:rPr>
          <w:rFonts w:ascii="仿宋_GB2312" w:eastAsia="仿宋_GB2312" w:hAnsi="Times New Roman" w:hint="eastAsia"/>
          <w:sz w:val="32"/>
          <w:szCs w:val="32"/>
        </w:rPr>
        <w:t>进一步明确管理机制，包括组织管理（成立领导机构、日常工作机构等）、推进机制（培训、审核、公示、验收等实施过程管理，指导、服务、工作调度等）、监督机制（审计、纪检部门参与）。</w:t>
      </w: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9B2D58" w:rsidRDefault="009B2D58" w:rsidP="009B2D58">
      <w:pPr>
        <w:spacing w:line="100" w:lineRule="exact"/>
        <w:jc w:val="left"/>
        <w:rPr>
          <w:rFonts w:ascii="仿宋_GB2312" w:eastAsia="仿宋_GB2312" w:hAnsi="Times New Roman" w:cs="Times New Roman" w:hint="eastAsia"/>
          <w:sz w:val="32"/>
          <w:szCs w:val="32"/>
        </w:rPr>
      </w:pPr>
    </w:p>
    <w:p w:rsidR="00E25308" w:rsidRPr="009B2D58" w:rsidRDefault="00E25308"/>
    <w:sectPr w:rsidR="00E25308" w:rsidRPr="009B2D58" w:rsidSect="00E25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D58"/>
    <w:rsid w:val="009B2D58"/>
    <w:rsid w:val="00E25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3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2021-11-03T09:01:00Z</dcterms:created>
  <dcterms:modified xsi:type="dcterms:W3CDTF">2021-11-03T09:01:00Z</dcterms:modified>
</cp:coreProperties>
</file>