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5F" w:rsidRDefault="00BB405F" w:rsidP="00BB405F">
      <w:pPr>
        <w:pStyle w:val="GB231211328"/>
        <w:spacing w:line="600" w:lineRule="exact"/>
        <w:ind w:firstLine="0"/>
        <w:rPr>
          <w:rFonts w:ascii="黑体" w:eastAsia="黑体" w:hAnsi="黑体" w:cs="黑体"/>
          <w:szCs w:val="32"/>
        </w:rPr>
      </w:pPr>
      <w:r>
        <w:rPr>
          <w:rFonts w:ascii="黑体" w:eastAsia="黑体" w:hAnsi="黑体" w:cs="黑体" w:hint="eastAsia"/>
          <w:szCs w:val="32"/>
        </w:rPr>
        <w:t>附件2</w:t>
      </w:r>
    </w:p>
    <w:p w:rsidR="00BB405F" w:rsidRDefault="00BB405F" w:rsidP="00BB405F">
      <w:pPr>
        <w:pStyle w:val="GB231211328"/>
        <w:spacing w:line="400" w:lineRule="exact"/>
        <w:ind w:firstLine="0"/>
        <w:rPr>
          <w:rFonts w:ascii="黑体" w:eastAsia="黑体" w:hAnsi="黑体" w:cs="黑体"/>
          <w:szCs w:val="32"/>
        </w:rPr>
      </w:pPr>
    </w:p>
    <w:p w:rsidR="00BB405F" w:rsidRDefault="00BB405F" w:rsidP="00BB405F">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6"/>
          <w:sz w:val="44"/>
          <w:szCs w:val="44"/>
        </w:rPr>
        <w:t>提前下达2026年度省级财政衔接推进乡村振兴</w:t>
      </w:r>
      <w:r>
        <w:rPr>
          <w:rFonts w:ascii="方正小标宋简体" w:eastAsia="方正小标宋简体" w:hAnsi="方正小标宋简体" w:cs="方正小标宋简体" w:hint="eastAsia"/>
          <w:sz w:val="44"/>
          <w:szCs w:val="44"/>
        </w:rPr>
        <w:t>补助资金（巩固拓展脱贫攻坚成果和乡村振兴任务及欠发达国有农场巩固提升任务）</w:t>
      </w:r>
    </w:p>
    <w:p w:rsidR="00BB405F" w:rsidRDefault="00BB405F" w:rsidP="00BB405F">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分配表</w:t>
      </w:r>
    </w:p>
    <w:p w:rsidR="00BB405F" w:rsidRDefault="00BB405F" w:rsidP="00BB405F">
      <w:pPr>
        <w:pStyle w:val="GB231211328"/>
        <w:spacing w:line="400" w:lineRule="exact"/>
        <w:ind w:firstLine="0"/>
        <w:jc w:val="center"/>
        <w:rPr>
          <w:rFonts w:ascii="方正小标宋简体" w:eastAsia="方正小标宋简体" w:hAnsi="方正小标宋简体" w:cs="方正小标宋简体"/>
          <w:sz w:val="44"/>
          <w:szCs w:val="44"/>
        </w:rPr>
      </w:pPr>
    </w:p>
    <w:p w:rsidR="00BB405F" w:rsidRDefault="00BB405F" w:rsidP="00BB405F">
      <w:pPr>
        <w:pStyle w:val="GB231211328"/>
        <w:spacing w:line="600" w:lineRule="exact"/>
        <w:ind w:firstLine="0"/>
        <w:jc w:val="right"/>
        <w:rPr>
          <w:rFonts w:eastAsia="仿宋_GB2312" w:hAnsi="仿宋_GB2312" w:cs="仿宋_GB2312"/>
          <w:sz w:val="28"/>
          <w:szCs w:val="28"/>
        </w:rPr>
      </w:pPr>
      <w:r>
        <w:rPr>
          <w:rFonts w:eastAsia="仿宋_GB2312" w:hAnsi="仿宋_GB2312" w:cs="仿宋_GB2312"/>
          <w:sz w:val="28"/>
          <w:szCs w:val="28"/>
        </w:rPr>
        <w:t>单位：万元</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8"/>
        <w:gridCol w:w="1690"/>
        <w:gridCol w:w="2559"/>
        <w:gridCol w:w="1644"/>
        <w:gridCol w:w="1066"/>
      </w:tblGrid>
      <w:tr w:rsidR="00BB405F" w:rsidTr="00FD7804">
        <w:trPr>
          <w:cantSplit/>
          <w:trHeight w:val="369"/>
          <w:tblHeader/>
          <w:jc w:val="center"/>
        </w:trPr>
        <w:tc>
          <w:tcPr>
            <w:tcW w:w="914" w:type="pct"/>
            <w:shd w:val="clear" w:color="auto" w:fill="auto"/>
            <w:vAlign w:val="center"/>
          </w:tcPr>
          <w:p w:rsidR="00BB405F" w:rsidRDefault="00BB405F"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部门/市/县</w:t>
            </w:r>
          </w:p>
        </w:tc>
        <w:tc>
          <w:tcPr>
            <w:tcW w:w="992" w:type="pct"/>
            <w:shd w:val="clear" w:color="auto" w:fill="auto"/>
            <w:vAlign w:val="center"/>
          </w:tcPr>
          <w:p w:rsidR="00BB405F" w:rsidRDefault="00BB405F"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提前下达合计</w:t>
            </w:r>
          </w:p>
        </w:tc>
        <w:tc>
          <w:tcPr>
            <w:tcW w:w="1501" w:type="pct"/>
            <w:shd w:val="clear" w:color="auto" w:fill="auto"/>
            <w:vAlign w:val="center"/>
          </w:tcPr>
          <w:p w:rsidR="00BB405F" w:rsidRDefault="00BB405F"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巩固拓展脱贫攻坚成果</w:t>
            </w:r>
            <w:r>
              <w:rPr>
                <w:rFonts w:ascii="黑体" w:eastAsia="黑体" w:hAnsi="黑体" w:cs="黑体" w:hint="eastAsia"/>
                <w:color w:val="000000"/>
                <w:kern w:val="0"/>
                <w:szCs w:val="21"/>
                <w:lang/>
              </w:rPr>
              <w:br/>
              <w:t>和乡村振兴任务</w:t>
            </w:r>
          </w:p>
        </w:tc>
        <w:tc>
          <w:tcPr>
            <w:tcW w:w="964" w:type="pct"/>
            <w:shd w:val="clear" w:color="auto" w:fill="auto"/>
            <w:vAlign w:val="center"/>
          </w:tcPr>
          <w:p w:rsidR="00BB405F" w:rsidRDefault="00BB405F"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欠发达国有农场巩固提升任务</w:t>
            </w:r>
          </w:p>
        </w:tc>
        <w:tc>
          <w:tcPr>
            <w:tcW w:w="626" w:type="pct"/>
            <w:shd w:val="clear" w:color="auto" w:fill="auto"/>
            <w:vAlign w:val="center"/>
          </w:tcPr>
          <w:p w:rsidR="00BB405F" w:rsidRDefault="00BB405F"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备注</w:t>
            </w: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合计</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262900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262150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750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陕西农业发展集团有限公司</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86759.7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86759.7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kern w:val="0"/>
                <w:szCs w:val="21"/>
                <w:lang/>
              </w:rPr>
            </w:pPr>
            <w:r>
              <w:rPr>
                <w:rFonts w:ascii="仿宋_GB2312" w:eastAsia="仿宋_GB2312" w:hAnsi="仿宋_GB2312" w:cs="仿宋_GB2312" w:hint="eastAsia"/>
                <w:b/>
                <w:color w:val="000000"/>
                <w:kern w:val="0"/>
                <w:szCs w:val="21"/>
                <w:lang/>
              </w:rPr>
              <w:t>陕西省政府</w:t>
            </w:r>
          </w:p>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债券承销团</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6601.573062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6601.573062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省农垦集团</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525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525 </w:t>
            </w:r>
          </w:p>
        </w:tc>
        <w:tc>
          <w:tcPr>
            <w:tcW w:w="626" w:type="pct"/>
            <w:shd w:val="clear" w:color="auto" w:fill="auto"/>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华阴农场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91 </w:t>
            </w:r>
          </w:p>
        </w:tc>
        <w:tc>
          <w:tcPr>
            <w:tcW w:w="1501"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91 </w:t>
            </w:r>
          </w:p>
        </w:tc>
        <w:tc>
          <w:tcPr>
            <w:tcW w:w="626" w:type="pct"/>
            <w:shd w:val="clear" w:color="auto" w:fill="auto"/>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沙苑农场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175 </w:t>
            </w:r>
          </w:p>
        </w:tc>
        <w:tc>
          <w:tcPr>
            <w:tcW w:w="1501"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175 </w:t>
            </w:r>
          </w:p>
        </w:tc>
        <w:tc>
          <w:tcPr>
            <w:tcW w:w="626" w:type="pct"/>
            <w:shd w:val="clear" w:color="auto" w:fill="auto"/>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朝邑农场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129 </w:t>
            </w:r>
          </w:p>
        </w:tc>
        <w:tc>
          <w:tcPr>
            <w:tcW w:w="1501"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129 </w:t>
            </w:r>
          </w:p>
        </w:tc>
        <w:tc>
          <w:tcPr>
            <w:tcW w:w="626" w:type="pct"/>
            <w:shd w:val="clear" w:color="auto" w:fill="auto"/>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大荔农场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130 </w:t>
            </w:r>
          </w:p>
        </w:tc>
        <w:tc>
          <w:tcPr>
            <w:tcW w:w="1501"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130 </w:t>
            </w:r>
          </w:p>
        </w:tc>
        <w:tc>
          <w:tcPr>
            <w:tcW w:w="626" w:type="pct"/>
            <w:shd w:val="clear" w:color="auto" w:fill="auto"/>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西安市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8212.726938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8212.726938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临潼区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929.726938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929.726938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长安区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735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735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鄠邑区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952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952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蓝田县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2462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2462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周至县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3134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3134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宝鸡市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15480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15480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渭滨区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542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542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金台区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580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580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陈仓区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1811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1811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扶风县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1877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1877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眉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1018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1018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岐山县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1555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1555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lastRenderedPageBreak/>
              <w:t>凤翔区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1588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1588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太白县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1388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1388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麟游县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1569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1569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千阳县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1204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1204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陇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1641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1641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凤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707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707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咸阳市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16182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16182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秦都区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438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438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兴平市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883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883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武功县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1155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1155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三原县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1050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1050 </w:t>
            </w:r>
          </w:p>
        </w:tc>
        <w:tc>
          <w:tcPr>
            <w:tcW w:w="964" w:type="pct"/>
            <w:shd w:val="clear" w:color="auto" w:fill="auto"/>
            <w:vAlign w:val="center"/>
          </w:tcPr>
          <w:p w:rsidR="00BB405F" w:rsidRDefault="00BB405F" w:rsidP="00FD7804">
            <w:pPr>
              <w:jc w:val="center"/>
              <w:rPr>
                <w:rFonts w:ascii="仿宋_GB2312" w:eastAsia="仿宋_GB2312" w:hAnsi="仿宋_GB2312" w:cs="仿宋_GB2312"/>
                <w:b/>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泾阳县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1593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1593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礼泉县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2054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2054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乾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2012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2012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永寿县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1355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1355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彬州市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1075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1075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淳化县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2344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2344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旬邑县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1385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1385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长武县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838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838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铜川市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4907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4907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王益区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527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527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印台区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1038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1038 </w:t>
            </w:r>
          </w:p>
        </w:tc>
        <w:tc>
          <w:tcPr>
            <w:tcW w:w="964" w:type="pct"/>
            <w:shd w:val="clear" w:color="auto" w:fill="auto"/>
            <w:vAlign w:val="center"/>
          </w:tcPr>
          <w:p w:rsidR="00BB405F" w:rsidRDefault="00BB405F" w:rsidP="00FD7804">
            <w:pPr>
              <w:jc w:val="center"/>
              <w:rPr>
                <w:rFonts w:ascii="仿宋_GB2312" w:eastAsia="仿宋_GB2312" w:hAnsi="仿宋_GB2312" w:cs="仿宋_GB2312"/>
                <w:b/>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耀州区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2261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2261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宜君县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1081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1081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渭南市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21007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21007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临渭区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2527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2527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韩城市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1103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1103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华阴市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876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876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华州区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1246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1246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潼关县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1015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1015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大荔县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2594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2594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澄城县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3529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3529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合阳县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1970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1970 </w:t>
            </w:r>
          </w:p>
        </w:tc>
        <w:tc>
          <w:tcPr>
            <w:tcW w:w="964" w:type="pct"/>
            <w:shd w:val="clear" w:color="auto" w:fill="auto"/>
            <w:vAlign w:val="center"/>
          </w:tcPr>
          <w:p w:rsidR="00BB405F" w:rsidRDefault="00BB405F" w:rsidP="00FD7804">
            <w:pPr>
              <w:jc w:val="center"/>
              <w:rPr>
                <w:rFonts w:ascii="仿宋_GB2312" w:eastAsia="仿宋_GB2312" w:hAnsi="仿宋_GB2312" w:cs="仿宋_GB2312"/>
                <w:b/>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蒲城县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2452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2452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lastRenderedPageBreak/>
              <w:t>富平县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1778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1778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白水县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1917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1917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延安市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13754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13754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宝塔区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939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939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安塞区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934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934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黄陵县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黄龙县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678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678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宜川县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1020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1020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洛川县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1127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1127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富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898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898 </w:t>
            </w:r>
          </w:p>
        </w:tc>
        <w:tc>
          <w:tcPr>
            <w:tcW w:w="964" w:type="pct"/>
            <w:shd w:val="clear" w:color="auto" w:fill="auto"/>
            <w:vAlign w:val="center"/>
          </w:tcPr>
          <w:p w:rsidR="00BB405F" w:rsidRDefault="00BB405F" w:rsidP="00FD7804">
            <w:pPr>
              <w:jc w:val="center"/>
              <w:rPr>
                <w:rFonts w:ascii="仿宋_GB2312" w:eastAsia="仿宋_GB2312" w:hAnsi="仿宋_GB2312" w:cs="仿宋_GB2312"/>
                <w:b/>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甘泉县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986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986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吴起县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833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833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志丹县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788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788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子长市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1197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1197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延川县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2269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2269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延长县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1813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1813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榆林市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18462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18237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225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榆阳区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1031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918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113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横山区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1401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1401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神木市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694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694 </w:t>
            </w:r>
          </w:p>
        </w:tc>
        <w:tc>
          <w:tcPr>
            <w:tcW w:w="964" w:type="pct"/>
            <w:shd w:val="clear" w:color="auto" w:fill="auto"/>
            <w:vAlign w:val="center"/>
          </w:tcPr>
          <w:p w:rsidR="00BB405F" w:rsidRDefault="00BB405F" w:rsidP="00FD7804">
            <w:pPr>
              <w:jc w:val="center"/>
              <w:rPr>
                <w:rFonts w:ascii="仿宋_GB2312" w:eastAsia="仿宋_GB2312" w:hAnsi="仿宋_GB2312" w:cs="仿宋_GB2312"/>
                <w:b/>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府谷县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425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425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定边县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1223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1223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靖边县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914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802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112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绥德县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2375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2375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米脂县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1442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1442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佳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2536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2536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吴堡县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996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996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清涧县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2557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2557 </w:t>
            </w:r>
          </w:p>
        </w:tc>
        <w:tc>
          <w:tcPr>
            <w:tcW w:w="964" w:type="pct"/>
            <w:shd w:val="clear" w:color="auto" w:fill="auto"/>
            <w:vAlign w:val="center"/>
          </w:tcPr>
          <w:p w:rsidR="00BB405F" w:rsidRDefault="00BB405F" w:rsidP="00FD7804">
            <w:pPr>
              <w:jc w:val="center"/>
              <w:rPr>
                <w:rFonts w:ascii="仿宋_GB2312" w:eastAsia="仿宋_GB2312" w:hAnsi="仿宋_GB2312" w:cs="仿宋_GB2312"/>
                <w:b/>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子洲县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2868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2868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汉中市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23899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23899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汉台区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1171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1171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南郑区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2691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2691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城固县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2393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2393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洋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3097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3097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lastRenderedPageBreak/>
              <w:t>勉  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2493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2493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西乡县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2913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2913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略阳县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1738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1738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镇巴县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2269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2269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宁强县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3511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3511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留坝县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1018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1018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佛坪县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605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605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安康市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27342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27342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汉滨区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5799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5799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旬阳市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4962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4962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汉阴县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2445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2445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石泉县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2074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2074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宁陕县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1177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1177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紫阳县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3795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3795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岚皋县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1862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1862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平利县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2075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2075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镇坪县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940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940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白河县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2213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2213 </w:t>
            </w:r>
          </w:p>
        </w:tc>
        <w:tc>
          <w:tcPr>
            <w:tcW w:w="964" w:type="pct"/>
            <w:shd w:val="clear" w:color="auto" w:fill="auto"/>
            <w:vAlign w:val="center"/>
          </w:tcPr>
          <w:p w:rsidR="00BB405F" w:rsidRDefault="00BB405F" w:rsidP="00FD7804">
            <w:pPr>
              <w:jc w:val="cente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jc w:val="cente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商洛市</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19312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19312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商州区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3163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3163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洛南县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4221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4221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山阳县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3131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3131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镇安县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2133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2133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丹凤县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3088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3088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商南县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2343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2343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柞水县</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1233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1233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r w:rsidR="00BB405F" w:rsidTr="00FD7804">
        <w:trPr>
          <w:cantSplit/>
          <w:trHeight w:val="369"/>
          <w:jc w:val="center"/>
        </w:trPr>
        <w:tc>
          <w:tcPr>
            <w:tcW w:w="91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杨凌示范区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456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456 </w:t>
            </w:r>
          </w:p>
        </w:tc>
        <w:tc>
          <w:tcPr>
            <w:tcW w:w="964"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626" w:type="pct"/>
            <w:shd w:val="clear" w:color="auto" w:fill="auto"/>
            <w:noWrap/>
            <w:vAlign w:val="center"/>
          </w:tcPr>
          <w:p w:rsidR="00BB405F" w:rsidRDefault="00BB405F" w:rsidP="00FD7804">
            <w:pPr>
              <w:jc w:val="center"/>
              <w:rPr>
                <w:rFonts w:ascii="仿宋_GB2312" w:eastAsia="仿宋_GB2312" w:hAnsi="仿宋_GB2312" w:cs="仿宋_GB2312"/>
                <w:b/>
                <w:color w:val="000000"/>
                <w:szCs w:val="21"/>
              </w:rPr>
            </w:pPr>
          </w:p>
        </w:tc>
      </w:tr>
      <w:tr w:rsidR="00BB405F" w:rsidTr="00FD7804">
        <w:trPr>
          <w:cantSplit/>
          <w:trHeight w:val="369"/>
          <w:jc w:val="center"/>
        </w:trPr>
        <w:tc>
          <w:tcPr>
            <w:tcW w:w="914" w:type="pct"/>
            <w:shd w:val="clear" w:color="auto" w:fill="auto"/>
            <w:noWrap/>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杨陵区</w:t>
            </w:r>
          </w:p>
        </w:tc>
        <w:tc>
          <w:tcPr>
            <w:tcW w:w="992"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456 </w:t>
            </w:r>
          </w:p>
        </w:tc>
        <w:tc>
          <w:tcPr>
            <w:tcW w:w="1501" w:type="pct"/>
            <w:shd w:val="clear" w:color="auto" w:fill="auto"/>
            <w:vAlign w:val="center"/>
          </w:tcPr>
          <w:p w:rsidR="00BB405F" w:rsidRDefault="00BB405F"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456 </w:t>
            </w:r>
          </w:p>
        </w:tc>
        <w:tc>
          <w:tcPr>
            <w:tcW w:w="964"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c>
          <w:tcPr>
            <w:tcW w:w="626" w:type="pct"/>
            <w:shd w:val="clear" w:color="auto" w:fill="auto"/>
            <w:noWrap/>
            <w:vAlign w:val="center"/>
          </w:tcPr>
          <w:p w:rsidR="00BB405F" w:rsidRDefault="00BB405F" w:rsidP="00FD7804">
            <w:pPr>
              <w:rPr>
                <w:rFonts w:ascii="仿宋_GB2312" w:eastAsia="仿宋_GB2312" w:hAnsi="仿宋_GB2312" w:cs="仿宋_GB2312"/>
                <w:color w:val="000000"/>
                <w:szCs w:val="21"/>
              </w:rPr>
            </w:pPr>
          </w:p>
        </w:tc>
      </w:tr>
    </w:tbl>
    <w:p w:rsidR="00BB405F" w:rsidRDefault="00BB405F" w:rsidP="00BB405F">
      <w:pPr>
        <w:pStyle w:val="GB231211328"/>
        <w:spacing w:line="600" w:lineRule="exact"/>
        <w:ind w:firstLine="0"/>
        <w:rPr>
          <w:rFonts w:eastAsia="仿宋_GB2312" w:hAnsi="仿宋_GB2312" w:cs="仿宋_GB2312"/>
          <w:szCs w:val="32"/>
        </w:rPr>
      </w:pPr>
    </w:p>
    <w:p w:rsidR="00D56E10" w:rsidRDefault="00D56E10"/>
    <w:sectPr w:rsidR="00D56E10" w:rsidSect="00D56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405F"/>
    <w:rsid w:val="00BB405F"/>
    <w:rsid w:val="00D56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11328">
    <w:name w:val="样式 仿宋_GB2312 三号 首行缩进:  1.13 厘米 行距: 固定值 28 磅"/>
    <w:basedOn w:val="a"/>
    <w:qFormat/>
    <w:rsid w:val="00BB405F"/>
    <w:pPr>
      <w:spacing w:line="560" w:lineRule="exact"/>
      <w:ind w:firstLine="640"/>
    </w:pPr>
    <w:rPr>
      <w:rFonts w:ascii="仿宋_GB2312" w:eastAsia="宋体" w:hAnsi="Calibri" w:cs="宋体"/>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Words>
  <Characters>2062</Characters>
  <Application>Microsoft Office Word</Application>
  <DocSecurity>0</DocSecurity>
  <Lines>17</Lines>
  <Paragraphs>4</Paragraphs>
  <ScaleCrop>false</ScaleCrop>
  <Company>微软中国</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2026-01-13T02:19:00Z</dcterms:created>
  <dcterms:modified xsi:type="dcterms:W3CDTF">2026-01-13T02:19:00Z</dcterms:modified>
</cp:coreProperties>
</file>