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75" w:rsidRDefault="002B1575" w:rsidP="002B1575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附件1</w:t>
      </w:r>
    </w:p>
    <w:p w:rsidR="002B1575" w:rsidRDefault="002B1575" w:rsidP="002B1575">
      <w:pPr>
        <w:spacing w:line="600" w:lineRule="exact"/>
        <w:jc w:val="center"/>
        <w:rPr>
          <w:rFonts w:eastAsia="方正小标宋简体" w:hint="eastAsia"/>
          <w:kern w:val="0"/>
          <w:sz w:val="44"/>
          <w:szCs w:val="44"/>
        </w:rPr>
      </w:pPr>
      <w:bookmarkStart w:id="0" w:name="_Hlk81237613"/>
      <w:r>
        <w:rPr>
          <w:rFonts w:eastAsia="黑体" w:hint="eastAsia"/>
          <w:kern w:val="0"/>
          <w:sz w:val="44"/>
          <w:szCs w:val="44"/>
        </w:rPr>
        <w:t>免疫无布鲁氏菌病小区标准</w:t>
      </w:r>
    </w:p>
    <w:bookmarkEnd w:id="0"/>
    <w:p w:rsidR="002B1575" w:rsidRDefault="002B1575" w:rsidP="002B1575">
      <w:pPr>
        <w:ind w:firstLineChars="200" w:firstLine="643"/>
        <w:rPr>
          <w:rFonts w:eastAsia="仿宋_GB2312"/>
          <w:b/>
          <w:bCs/>
          <w:kern w:val="0"/>
          <w:szCs w:val="32"/>
        </w:rPr>
      </w:pP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1.范围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本标准规定了免疫无布鲁氏菌病小区的建设和恢复要求。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本标准适用于牛或羊免疫无布鲁氏菌病小区的建设和评估。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2.术语和定义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2.1本标准所指布鲁氏菌包括牛种、羊种布鲁氏菌，但不包括疫苗株。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2.2布鲁氏菌感染:出现以下任一情形，视为布鲁氏菌感染。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（1）从动物样品中检测到布鲁氏菌。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（2）布鲁氏菌病诊断试验结果为阳性，且与布鲁氏菌感染病例有流行病学关联。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3.免疫无布鲁氏菌病小区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除符合《无规定动物疫病小区管理技术规范》中《通则》的规定外，还应符合下列条件。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3.1具有统一完整的生物安全体系。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3.2全部牛/羊加施永久性标识，新出生牛/羊，在免疫时加施标识;养殖档案齐全。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3.3场区设置车辆、物料、人员等清洗消毒设施设备，对生产、生活、运输、无害化处理等环节进行有效的清洗消毒。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3.4饲草来源清晰，必要时采取消毒措施。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3.5原则上不得从外部引入牛/羊。确需引入的，不引入免</w:t>
      </w:r>
      <w:r>
        <w:rPr>
          <w:rFonts w:ascii="仿宋_GB2312" w:eastAsia="仿宋_GB2312" w:hint="eastAsia"/>
          <w:kern w:val="0"/>
          <w:szCs w:val="32"/>
        </w:rPr>
        <w:lastRenderedPageBreak/>
        <w:t>疫牛/羊。输出场近12个月未发生布鲁氏菌病，对新引进牛/羊采取了引入报检和隔离检疫等措施，且经布鲁氏菌病检测，全部为阴性。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3.6使用符合国家要求的疫苗，对6月龄内牛、3月龄内羊免疫，成年牛/羊不得免疫。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3.7具有科学有效的监测体系，过去12个月内未发现布鲁氏菌感染。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3.8过去12个月内，对所有性成熟牛/羊进行2次布鲁氏菌病血清学检测，结果为阴性。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3.9对所有出现流产等疑似症状的牛/羊进行布鲁氏菌病原学检测，结果为阴性。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3.10发现布鲁氏菌病病例，需对畜群所有性成熟牛/羊进行2次布鲁氏菌病检测;第1次检测在最后一例病例扑杀3个月后，第2次检测在之后的6—12个月之间。2次检测结果均为阴性。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4.免疫无布鲁氏菌病小区的恢复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4.1暂停免疫无布鲁氏菌病小区资格后，自规定时间内完成整改的，可申请恢复无疫资格。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4.2撤销免疫无布鲁氏菌病小区资格的恢复。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4.2.1因发生布鲁氏菌病撤销资格的，在最后一例病例扑杀后满足3.5—3.10 要求后，可申请恢复无疫资格。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4.2.2在规定期限内未完成整改或其他原因撤销资格的，在完成整改或符合相应要求后，可申请恢复无疫资格。</w:t>
      </w:r>
    </w:p>
    <w:p w:rsidR="002B1575" w:rsidRDefault="002B1575" w:rsidP="002B1575">
      <w:pPr>
        <w:widowControl/>
        <w:jc w:val="left"/>
        <w:sectPr w:rsidR="002B1575">
          <w:pgSz w:w="11906" w:h="16838"/>
          <w:pgMar w:top="1871" w:right="1531" w:bottom="1474" w:left="1531" w:header="851" w:footer="1134" w:gutter="0"/>
          <w:cols w:space="720"/>
        </w:sectPr>
      </w:pPr>
    </w:p>
    <w:p w:rsidR="002B1575" w:rsidRDefault="002B1575" w:rsidP="002B1575">
      <w:pPr>
        <w:widowControl/>
        <w:jc w:val="left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lastRenderedPageBreak/>
        <w:t>附件2</w:t>
      </w:r>
    </w:p>
    <w:p w:rsidR="002B1575" w:rsidRDefault="002B1575" w:rsidP="002B1575">
      <w:pPr>
        <w:jc w:val="center"/>
        <w:rPr>
          <w:rFonts w:eastAsia="黑体" w:hint="eastAsia"/>
          <w:kern w:val="0"/>
          <w:sz w:val="44"/>
          <w:szCs w:val="44"/>
        </w:rPr>
      </w:pPr>
      <w:r>
        <w:rPr>
          <w:rFonts w:eastAsia="黑体" w:hint="eastAsia"/>
          <w:kern w:val="0"/>
          <w:sz w:val="44"/>
          <w:szCs w:val="44"/>
        </w:rPr>
        <w:t>无牛结核病小区标准</w:t>
      </w:r>
    </w:p>
    <w:p w:rsidR="002B1575" w:rsidRDefault="002B1575" w:rsidP="002B1575">
      <w:pPr>
        <w:jc w:val="center"/>
        <w:rPr>
          <w:rFonts w:eastAsia="黑体"/>
          <w:kern w:val="0"/>
          <w:sz w:val="44"/>
          <w:szCs w:val="44"/>
        </w:rPr>
      </w:pP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1.范围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本标准规定了无牛结核病小区的建设和恢复要求。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本标准适用于无牛结核病小区的建设和评估。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2.术语和定义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2.1结核分枝杆菌复合群:结核分枝杆菌复合群包含多种分枝杆菌，本标准中专指可致牛结核病的牛分枝杆菌、山羊分枝杆菌和结核分枝杆菌。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2.2结核分枝杆菌复合群感染:出现以下任一情形，均视为结核分枝杆菌复合群感染。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(1)从动物或动物产品中鉴定出结核分枝杆菌复合群的任一成员。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(2)诊断试验呈阳性结果,且与结核分枝杆菌复合群感染病例有流行病学关联,或有其他证据证明其感染了结核分枝杆菌复合群任一成员。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3.无牛结核病小区标准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除符合《无规定动物疫病小区管理技术规范》中《通则》的规定外，还应符合下列条件。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 具有统一完整的生物安全体系。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3.2对新引进牛、胚胎、精液采取了检疫、隔离等确保无疫</w:t>
      </w:r>
      <w:r>
        <w:rPr>
          <w:rFonts w:ascii="仿宋_GB2312" w:eastAsia="仿宋_GB2312" w:hint="eastAsia"/>
          <w:kern w:val="0"/>
          <w:szCs w:val="32"/>
        </w:rPr>
        <w:lastRenderedPageBreak/>
        <w:t>措施。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3.3实施有效的标识和养殖档案管理。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3.4场区设置车辆、物料、人员等清洗消毒设施设备，对生产、生活、运输、无害化处理等环节进行有效的清洗消毒。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3.5饲草来源清晰,必要时采取了消毒措施。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3.6具有科学有效的监测体系,过去12个月内未发现结核分枝杆菌复合群感染。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3.7过去12个月内，对6周龄以上牛进行2次检测,结果均为阴性。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3.8过去12个月内，未发现牛结核病临床症状,或宰前和宰后检疫均未发现结核病变。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3.9如发现结核分枝杆菌复合群感染，需对所有6周龄以上的牛进行2次检测；第1次检测应在最后一例感染牛扑杀6个月后进行，第2次检测至少间隔6个月，2次检测结果均为阴性。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4.无牛结核病小区的恢复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4.1暂停无牛结核病小区资格后,自规定时间内完成整改的，可申请恢复无疫资格。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4.2撤销无牛结核病小区资格的恢复。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4.2.1 因发生牛结核病撤销资格的,在最后一例病例被扑杀后满足3.6-3.9的，可申请恢复无疫资格。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4.2.2在规定期限内未完成整改或其他原因撤销资格的，在完成整改或符合相应要求后,可申请恢复无疫资格。</w:t>
      </w:r>
    </w:p>
    <w:p w:rsidR="002B1575" w:rsidRDefault="002B1575" w:rsidP="002B1575">
      <w:pPr>
        <w:widowControl/>
        <w:jc w:val="left"/>
        <w:sectPr w:rsidR="002B1575">
          <w:pgSz w:w="11906" w:h="16838"/>
          <w:pgMar w:top="1871" w:right="1531" w:bottom="1474" w:left="1531" w:header="851" w:footer="1134" w:gutter="0"/>
          <w:cols w:space="720"/>
        </w:sectPr>
      </w:pPr>
    </w:p>
    <w:p w:rsidR="002B1575" w:rsidRDefault="002B1575" w:rsidP="002B1575">
      <w:pPr>
        <w:spacing w:line="600" w:lineRule="exact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lastRenderedPageBreak/>
        <w:t>附件3</w:t>
      </w:r>
    </w:p>
    <w:p w:rsidR="002B1575" w:rsidRDefault="002B1575" w:rsidP="002B1575">
      <w:pPr>
        <w:jc w:val="center"/>
        <w:rPr>
          <w:rFonts w:eastAsia="黑体" w:hint="eastAsia"/>
          <w:kern w:val="0"/>
          <w:szCs w:val="32"/>
        </w:rPr>
      </w:pPr>
      <w:bookmarkStart w:id="1" w:name="_Hlk81237634"/>
      <w:r>
        <w:rPr>
          <w:rFonts w:eastAsia="黑体" w:hint="eastAsia"/>
          <w:kern w:val="0"/>
          <w:sz w:val="44"/>
          <w:szCs w:val="44"/>
        </w:rPr>
        <w:t>无布鲁氏菌病区标准</w:t>
      </w:r>
      <w:bookmarkEnd w:id="1"/>
    </w:p>
    <w:p w:rsidR="002B1575" w:rsidRDefault="002B1575" w:rsidP="002B1575">
      <w:pPr>
        <w:spacing w:line="600" w:lineRule="exact"/>
        <w:ind w:firstLineChars="200" w:firstLine="643"/>
        <w:rPr>
          <w:rFonts w:ascii="仿宋_GB2312" w:eastAsia="仿宋_GB2312"/>
          <w:b/>
          <w:bCs/>
          <w:kern w:val="0"/>
          <w:szCs w:val="32"/>
        </w:rPr>
      </w:pP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1.范围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本标准规定了无布鲁氏菌病区的条件。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本标准适用于牛、羊或牛羊无布鲁氏菌病区的建设和评估。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2.术语和定义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除《无规定动物疫病区管理技术规范》中《通则》规定的术语和定义外，下列术语和定义也适用于本标准。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2.1本标准所指布鲁氏菌包括牛种、羊种布鲁氏菌，但不包括疫苗株。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2.2布鲁氏菌感染:出现以下任一情形，均视为发生布鲁氏菌感染。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（1）从动物样品中检测到布鲁氏菌。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（2）布鲁氏菌病诊断试验结果为阳性，且与布鲁氏菌感染病例有流行病学关联。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3.非免疫无布鲁氏菌病区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除符合《无规定动物疫病区管理技术规范》中《通则》相关规定外，还应当符合下列条件。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3.1根据区域内牛羊产业情况、养殖模式和布鲁氏菌病流行病学特点等，确定建设牛、羊或牛羊非免疫无布鲁氏菌病区。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3.2依据人工屏障，结合地理屏障，建设无疫区，必要时设</w:t>
      </w:r>
      <w:r>
        <w:rPr>
          <w:rFonts w:ascii="仿宋_GB2312" w:eastAsia="仿宋_GB2312" w:hint="eastAsia"/>
          <w:kern w:val="0"/>
          <w:szCs w:val="32"/>
        </w:rPr>
        <w:lastRenderedPageBreak/>
        <w:t>置保护区，有效防止布鲁氏菌传入。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3.3具有科学有效的监测体系和疫情报告体系。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3.4实施标识和养殖档案管理，能够实现有效追溯。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3.5具有有效的流通监管体系，落实外引牛、羊输入指定通道制度和申报检疫制度。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3.6在过去3年内，无牛、羊布鲁氏菌病报告病例。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3.7过去3年内完成对全部畜群的监测，至少99.8%的畜群没有布鲁氏菌感染，且无感染畜群牛、羊数量至少代表区域内99.9%的牛、羊。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3.8实施了布鲁氏菌感染的早期诊断措施，至少包括定期对流产病例样本进行实验室诊断。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3.9过去3年内没有进行牛、羊布鲁氏菌病疫苗免疫。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3.10引入牛、羊时，输出场近12个月未发生布鲁氏菌病，并对新引进牛、羊采取了引入报检和隔离检疫等措施，且经布鲁氏菌病检测，全部为阴性;用于继续饲养的，输出场为非免疫场。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3.11猪等其他易感动物及易感野生动物发生布鲁氏菌感染时，如已采取防止布鲁氏菌传播给牛、羊的有效措施，则本区域内牛、羊无疫状态的认可资格不受影响。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3.12如建设单一畜种无布鲁氏菌病区，需采取有效措施，防止布鲁氏菌从其他畜种传播至本畜种。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4.免疫无布鲁氏菌病区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除遵守《无规定动物疫病区管理技术规范》中《通则》相关</w:t>
      </w:r>
      <w:r>
        <w:rPr>
          <w:rFonts w:ascii="仿宋_GB2312" w:eastAsia="仿宋_GB2312" w:hint="eastAsia"/>
          <w:kern w:val="0"/>
          <w:szCs w:val="32"/>
        </w:rPr>
        <w:lastRenderedPageBreak/>
        <w:t>规定外，还应当符合下列条件。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4.1根据区域内牛羊产业情况、养殖模式和布鲁氏菌病流行病学特点等，确定建设牛、羊或牛羊免疫无布鲁氏菌病区。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4.2依据人工屏障，结合地理屏障，建设无疫区，必要时设置保护区，以有效防止布鲁氏菌传入。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4.3具有科学有效的监测体系和疫情报告体系。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4.4实施标识和养殖档案管理，能够实现牛、羊的有效追溯。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4.5具有有效的流通监管体系，落实外引牛、羊输入指定通道制度和申报检疫制度。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4.6在过去3年内，无牛、羊布鲁氏菌病报告病例。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4.7引入牛、羊时，输出场近12个月未发生布鲁氏菌病，对新引进牛、羊采取了引入报检和隔离检疫等措施，且经布鲁氏菌病检测，全部为阴性。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4.8过去3年内完成对全部畜群的监测，至少99.8%的畜群无布鲁氏菌感染，且无感染畜群牛、羊数量至少代表区域内99.9%的牛、羊。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4.9实施了布鲁氏菌感染的早期诊断措施，至少包括定期对流产病例样本进行实验室诊断。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4.10区域内牛、羊均按照国家有关规定进行疫苗免疫。接种疫苗的牛、羊有完整的免疫档案。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4.11猪等其他易感动物及易感野生动物，如已采取防止布鲁氏菌传播给牛、羊的有效措施，则本区域内牛、羊无疫状态的</w:t>
      </w:r>
      <w:r>
        <w:rPr>
          <w:rFonts w:ascii="仿宋_GB2312" w:eastAsia="仿宋_GB2312" w:hint="eastAsia"/>
          <w:kern w:val="0"/>
          <w:szCs w:val="32"/>
        </w:rPr>
        <w:lastRenderedPageBreak/>
        <w:t>认可资格不受影响。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4.12如建设单一畜种无布鲁氏菌病区，需采取有效措施，防止布鲁氏菌从其他畜种传播至本畜种。</w:t>
      </w:r>
    </w:p>
    <w:p w:rsidR="002B1575" w:rsidRDefault="002B1575" w:rsidP="002B1575">
      <w:pPr>
        <w:spacing w:line="600" w:lineRule="exact"/>
        <w:ind w:firstLineChars="200" w:firstLine="640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5.无布鲁氏菌病区的恢复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无布鲁氏菌病区发生布鲁氏菌病后，符合以下全部条件，可申请恢复无疫状态。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5.1扑杀所有感染牛、羊。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5.2及时开展流行病学调查，确定可能的传染源及感染分布情况，证明所有感染之间存在流行病学关联，且数量有限、地理分布清楚，确定为发生在局部范围内的有限疫情。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5.3对于发病畜群及流行病学关联畜群，采取以下任一措施。</w:t>
      </w:r>
    </w:p>
    <w:p w:rsidR="002B1575" w:rsidRDefault="002B1575" w:rsidP="002B1575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（1）全群扑杀。</w:t>
      </w:r>
    </w:p>
    <w:p w:rsidR="002B1575" w:rsidRDefault="002B1575" w:rsidP="002B1575">
      <w:pPr>
        <w:spacing w:line="600" w:lineRule="exact"/>
        <w:ind w:firstLineChars="200" w:firstLine="640"/>
        <w:rPr>
          <w:rFonts w:eastAsia="仿宋_GB2312" w:hint="eastAsia"/>
          <w:kern w:val="0"/>
          <w:szCs w:val="32"/>
        </w:rPr>
      </w:pPr>
      <w:r>
        <w:rPr>
          <w:rFonts w:ascii="仿宋_GB2312" w:eastAsia="仿宋_GB2312" w:hint="eastAsia"/>
          <w:kern w:val="0"/>
          <w:szCs w:val="32"/>
        </w:rPr>
        <w:t>（2）未采取全群扑杀措施的，需对除去势公畜外的所有性成熟牛、羊进行5次检测，前3次检测间隔不少于2个月，之后的6个月和一年后分别进行第4次和第5次检测，结果均为布鲁氏菌感染阴性。在此期间，限制畜群中的牛、羊移动。</w:t>
      </w:r>
    </w:p>
    <w:p w:rsidR="002B1575" w:rsidRDefault="002B1575" w:rsidP="002B1575">
      <w:pPr>
        <w:widowControl/>
        <w:jc w:val="left"/>
        <w:sectPr w:rsidR="002B1575">
          <w:pgSz w:w="11906" w:h="16838"/>
          <w:pgMar w:top="1871" w:right="1531" w:bottom="1474" w:left="1531" w:header="851" w:footer="1134" w:gutter="0"/>
          <w:cols w:space="720"/>
        </w:sectPr>
      </w:pPr>
    </w:p>
    <w:p w:rsidR="002B1575" w:rsidRDefault="002B1575" w:rsidP="002B1575">
      <w:pPr>
        <w:spacing w:line="60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附件4</w:t>
      </w:r>
    </w:p>
    <w:p w:rsidR="002B1575" w:rsidRDefault="002B1575" w:rsidP="002B1575">
      <w:pPr>
        <w:spacing w:line="600" w:lineRule="exact"/>
        <w:jc w:val="center"/>
        <w:rPr>
          <w:rFonts w:ascii="黑体" w:eastAsia="黑体" w:hAnsi="黑体" w:cs="方正小标宋简体" w:hint="eastAsia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kern w:val="0"/>
          <w:sz w:val="44"/>
          <w:szCs w:val="44"/>
        </w:rPr>
        <w:t>拟建布病无疫区信息表</w:t>
      </w:r>
    </w:p>
    <w:p w:rsidR="002B1575" w:rsidRDefault="002B1575" w:rsidP="002B1575">
      <w:pPr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Cs w:val="32"/>
        </w:rPr>
        <w:t>市（区）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1707"/>
        <w:gridCol w:w="2370"/>
        <w:gridCol w:w="2407"/>
        <w:gridCol w:w="2409"/>
        <w:gridCol w:w="2267"/>
        <w:gridCol w:w="1984"/>
      </w:tblGrid>
      <w:tr w:rsidR="002B1575" w:rsidTr="002B1575">
        <w:trPr>
          <w:trHeight w:val="85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无疫区名称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无疫区范围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保护区范围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无疫区和保护区内牛羊养殖单元数量（个）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无疫区和保护区内牛羊存栏量（万头）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预计申请省级评估时间（年月）</w:t>
            </w:r>
          </w:p>
        </w:tc>
      </w:tr>
      <w:tr w:rsidR="002B1575" w:rsidTr="002B1575">
        <w:trPr>
          <w:trHeight w:val="10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</w:tr>
      <w:tr w:rsidR="002B1575" w:rsidTr="002B1575">
        <w:trPr>
          <w:trHeight w:val="10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</w:tr>
      <w:tr w:rsidR="002B1575" w:rsidTr="002B1575">
        <w:trPr>
          <w:trHeight w:val="10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4"/>
              </w:rPr>
            </w:pPr>
          </w:p>
        </w:tc>
      </w:tr>
    </w:tbl>
    <w:p w:rsidR="002B1575" w:rsidRDefault="002B1575" w:rsidP="002B1575">
      <w:pPr>
        <w:widowControl/>
        <w:jc w:val="left"/>
        <w:sectPr w:rsidR="002B1575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2B1575" w:rsidRDefault="002B1575" w:rsidP="002B1575">
      <w:pPr>
        <w:widowControl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附件5</w:t>
      </w:r>
    </w:p>
    <w:p w:rsidR="002B1575" w:rsidRDefault="002B1575" w:rsidP="002B1575">
      <w:pPr>
        <w:spacing w:line="600" w:lineRule="exact"/>
        <w:jc w:val="center"/>
        <w:rPr>
          <w:rFonts w:ascii="黑体" w:eastAsia="黑体" w:hAnsi="黑体" w:cs="方正小标宋简体" w:hint="eastAsia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kern w:val="0"/>
          <w:sz w:val="44"/>
          <w:szCs w:val="44"/>
        </w:rPr>
        <w:t>拟建布病/牛结核病无疫小区信息表</w:t>
      </w:r>
    </w:p>
    <w:p w:rsidR="002B1575" w:rsidRDefault="002B1575" w:rsidP="002B1575">
      <w:pPr>
        <w:rPr>
          <w:rFonts w:hint="eastAsia"/>
          <w:szCs w:val="32"/>
        </w:rPr>
      </w:pPr>
    </w:p>
    <w:p w:rsidR="002B1575" w:rsidRDefault="002B1575" w:rsidP="002B1575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Cs w:val="32"/>
        </w:rPr>
        <w:t>市（区）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201"/>
        <w:gridCol w:w="2762"/>
        <w:gridCol w:w="1746"/>
        <w:gridCol w:w="1455"/>
        <w:gridCol w:w="2908"/>
        <w:gridCol w:w="2065"/>
      </w:tblGrid>
      <w:tr w:rsidR="002B1575" w:rsidTr="002B1575">
        <w:trPr>
          <w:trHeight w:val="141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企业所在地（具体到县）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存栏规模（头）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养殖场类型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是否包括饲料、屠宰、加工、无害化处理、清洗消毒等辅助生产单元（如有，请简要列出）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5" w:rsidRDefault="002B15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预计申请省级评估时间（年月）</w:t>
            </w:r>
          </w:p>
        </w:tc>
      </w:tr>
      <w:tr w:rsidR="002B1575" w:rsidTr="002B1575">
        <w:trPr>
          <w:trHeight w:val="8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</w:tr>
      <w:tr w:rsidR="002B1575" w:rsidTr="002B1575">
        <w:trPr>
          <w:trHeight w:val="8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</w:tr>
      <w:tr w:rsidR="002B1575" w:rsidTr="002B1575">
        <w:trPr>
          <w:trHeight w:val="93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</w:tr>
      <w:tr w:rsidR="002B1575" w:rsidTr="002B1575">
        <w:trPr>
          <w:trHeight w:val="83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5" w:rsidRDefault="002B1575">
            <w:pPr>
              <w:rPr>
                <w:sz w:val="28"/>
                <w:szCs w:val="28"/>
              </w:rPr>
            </w:pPr>
          </w:p>
        </w:tc>
      </w:tr>
    </w:tbl>
    <w:p w:rsidR="002B1575" w:rsidRDefault="002B1575" w:rsidP="002B1575">
      <w:pPr>
        <w:widowControl/>
        <w:jc w:val="left"/>
        <w:sectPr w:rsidR="002B1575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2B1575" w:rsidRDefault="002B1575" w:rsidP="002B1575">
      <w:pPr>
        <w:rPr>
          <w:rFonts w:hint="eastAsia"/>
        </w:rPr>
      </w:pPr>
    </w:p>
    <w:p w:rsidR="002B1575" w:rsidRDefault="002B1575" w:rsidP="002B1575"/>
    <w:p w:rsidR="002B1575" w:rsidRDefault="002B1575" w:rsidP="002B1575"/>
    <w:p w:rsidR="002B1575" w:rsidRDefault="002B1575" w:rsidP="002B1575"/>
    <w:p w:rsidR="002B1575" w:rsidRDefault="002B1575" w:rsidP="002B1575">
      <w:pPr>
        <w:spacing w:line="240" w:lineRule="exact"/>
        <w:rPr>
          <w:rFonts w:ascii="仿宋_GB2312" w:eastAsia="仿宋_GB2312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2B1575" w:rsidRDefault="002B1575" w:rsidP="002B1575">
      <w:pPr>
        <w:spacing w:line="240" w:lineRule="exact"/>
        <w:rPr>
          <w:rFonts w:ascii="仿宋_GB2312" w:eastAsia="仿宋_GB2312" w:hint="eastAsia"/>
          <w:color w:val="000000"/>
          <w:szCs w:val="32"/>
        </w:rPr>
      </w:pPr>
    </w:p>
    <w:p w:rsidR="000526C6" w:rsidRPr="002B1575" w:rsidRDefault="000526C6"/>
    <w:sectPr w:rsidR="000526C6" w:rsidRPr="002B1575" w:rsidSect="0005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575"/>
    <w:rsid w:val="000526C6"/>
    <w:rsid w:val="002B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75"/>
    <w:pPr>
      <w:widowControl w:val="0"/>
      <w:jc w:val="both"/>
    </w:pPr>
    <w:rPr>
      <w:rFonts w:ascii="Calibri" w:eastAsia="新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565</Words>
  <Characters>3225</Characters>
  <Application>Microsoft Office Word</Application>
  <DocSecurity>0</DocSecurity>
  <Lines>26</Lines>
  <Paragraphs>7</Paragraphs>
  <ScaleCrop>false</ScaleCrop>
  <Company>微软中国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2021-09-09T06:57:00Z</dcterms:created>
  <dcterms:modified xsi:type="dcterms:W3CDTF">2021-09-09T06:58:00Z</dcterms:modified>
</cp:coreProperties>
</file>