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8707B">
      <w:pPr>
        <w:jc w:val="center"/>
        <w:rPr>
          <w:rFonts w:hint="eastAsia" w:ascii="华文中宋" w:hAnsi="华文中宋" w:eastAsia="华文中宋"/>
          <w:b/>
          <w:sz w:val="36"/>
          <w:szCs w:val="36"/>
        </w:rPr>
      </w:pPr>
    </w:p>
    <w:p w14:paraId="067CCDFC">
      <w:pPr>
        <w:jc w:val="center"/>
        <w:rPr>
          <w:rFonts w:hint="eastAsia" w:ascii="华文中宋" w:hAnsi="华文中宋" w:eastAsia="华文中宋"/>
          <w:b/>
          <w:sz w:val="36"/>
          <w:szCs w:val="36"/>
        </w:rPr>
      </w:pPr>
      <w:r>
        <w:rPr>
          <w:rFonts w:hint="eastAsia" w:ascii="华文中宋" w:hAnsi="华文中宋" w:eastAsia="华文中宋"/>
          <w:b/>
          <w:sz w:val="36"/>
          <w:szCs w:val="36"/>
          <w:lang w:val="en-US" w:eastAsia="zh-CN"/>
        </w:rPr>
        <w:t>9.</w:t>
      </w:r>
      <w:r>
        <w:rPr>
          <w:rFonts w:hint="eastAsia" w:ascii="华文中宋" w:hAnsi="华文中宋" w:eastAsia="华文中宋"/>
          <w:b/>
          <w:sz w:val="36"/>
          <w:szCs w:val="36"/>
        </w:rPr>
        <w:t>水稻干籽播种轻简化育秧防治苗期主要病害</w:t>
      </w:r>
      <w:bookmarkStart w:id="1" w:name="_GoBack"/>
      <w:bookmarkEnd w:id="1"/>
      <w:r>
        <w:rPr>
          <w:rFonts w:hint="eastAsia" w:ascii="华文中宋" w:hAnsi="华文中宋" w:eastAsia="华文中宋"/>
          <w:b/>
          <w:sz w:val="36"/>
          <w:szCs w:val="36"/>
        </w:rPr>
        <w:t>技术</w:t>
      </w:r>
    </w:p>
    <w:p w14:paraId="5DA1E3BE">
      <w:pPr>
        <w:adjustRightInd w:val="0"/>
        <w:snapToGrid w:val="0"/>
        <w:spacing w:line="600" w:lineRule="exact"/>
        <w:ind w:firstLine="643" w:firstLineChars="200"/>
        <w:rPr>
          <w:rFonts w:hint="eastAsia" w:ascii="Times New Roman" w:hAnsi="Times New Roman" w:eastAsia="黑体"/>
          <w:b/>
          <w:color w:val="000000" w:themeColor="text1"/>
          <w:sz w:val="32"/>
          <w:szCs w:val="32"/>
          <w14:textFill>
            <w14:solidFill>
              <w14:schemeClr w14:val="tx1"/>
            </w14:solidFill>
          </w14:textFill>
        </w:rPr>
      </w:pPr>
    </w:p>
    <w:p w14:paraId="3CF2EA0F">
      <w:pPr>
        <w:adjustRightInd w:val="0"/>
        <w:snapToGrid w:val="0"/>
        <w:spacing w:line="600" w:lineRule="exact"/>
        <w:ind w:firstLine="643" w:firstLineChars="200"/>
        <w:rPr>
          <w:rFonts w:ascii="Times New Roman" w:hAnsi="Times New Roman" w:eastAsia="黑体"/>
          <w:b/>
          <w:color w:val="000000" w:themeColor="text1"/>
          <w:sz w:val="32"/>
          <w:szCs w:val="32"/>
          <w14:textFill>
            <w14:solidFill>
              <w14:schemeClr w14:val="tx1"/>
            </w14:solidFill>
          </w14:textFill>
        </w:rPr>
      </w:pPr>
      <w:r>
        <w:rPr>
          <w:rFonts w:hint="eastAsia" w:ascii="Times New Roman" w:hAnsi="Times New Roman" w:eastAsia="黑体"/>
          <w:b/>
          <w:color w:val="000000" w:themeColor="text1"/>
          <w:sz w:val="32"/>
          <w:szCs w:val="32"/>
          <w14:textFill>
            <w14:solidFill>
              <w14:schemeClr w14:val="tx1"/>
            </w14:solidFill>
          </w14:textFill>
        </w:rPr>
        <w:t>一、技术概述</w:t>
      </w:r>
    </w:p>
    <w:p w14:paraId="4E0A1418">
      <w:pPr>
        <w:snapToGrid w:val="0"/>
        <w:spacing w:line="560" w:lineRule="exact"/>
        <w:ind w:firstLine="643" w:firstLineChars="200"/>
        <w:rPr>
          <w:rFonts w:ascii="Times New Roman" w:hAnsi="Times New Roman" w:eastAsia="楷体_GB2312"/>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（一）基本情况</w:t>
      </w:r>
    </w:p>
    <w:p w14:paraId="73B1C3F8">
      <w:pPr>
        <w:snapToGrid w:val="0"/>
        <w:spacing w:line="56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ascii="仿宋_GB2312" w:hAnsi="Times New Roman" w:eastAsia="仿宋_GB2312"/>
          <w:color w:val="000000" w:themeColor="text1"/>
          <w:sz w:val="28"/>
          <w:szCs w:val="28"/>
          <w14:textFill>
            <w14:solidFill>
              <w14:schemeClr w14:val="tx1"/>
            </w14:solidFill>
          </w14:textFill>
        </w:rPr>
        <w:t>水稻秧苗素质好坏直接影响水稻产量的高低</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认真抓好水稻</w:t>
      </w:r>
      <w:r>
        <w:rPr>
          <w:rFonts w:hint="eastAsia" w:ascii="仿宋_GB2312" w:hAnsi="Times New Roman" w:eastAsia="仿宋_GB2312"/>
          <w:color w:val="000000" w:themeColor="text1"/>
          <w:sz w:val="28"/>
          <w:szCs w:val="28"/>
          <w14:textFill>
            <w14:solidFill>
              <w14:schemeClr w14:val="tx1"/>
            </w14:solidFill>
          </w14:textFill>
        </w:rPr>
        <w:t>秧苗</w:t>
      </w:r>
      <w:r>
        <w:rPr>
          <w:rFonts w:ascii="仿宋_GB2312" w:hAnsi="Times New Roman" w:eastAsia="仿宋_GB2312"/>
          <w:color w:val="000000" w:themeColor="text1"/>
          <w:sz w:val="28"/>
          <w:szCs w:val="28"/>
          <w14:textFill>
            <w14:solidFill>
              <w14:schemeClr w14:val="tx1"/>
            </w14:solidFill>
          </w14:textFill>
        </w:rPr>
        <w:t>期病害的防控</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培育无病壮秧</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对实现水稻增产具有十分重要意义。水稻苗期</w:t>
      </w:r>
      <w:r>
        <w:rPr>
          <w:rFonts w:hint="eastAsia" w:ascii="仿宋_GB2312" w:hAnsi="Times New Roman" w:eastAsia="仿宋_GB2312"/>
          <w:color w:val="000000" w:themeColor="text1"/>
          <w:sz w:val="28"/>
          <w:szCs w:val="28"/>
          <w14:textFill>
            <w14:solidFill>
              <w14:schemeClr w14:val="tx1"/>
            </w14:solidFill>
          </w14:textFill>
        </w:rPr>
        <w:t>主要</w:t>
      </w:r>
      <w:r>
        <w:rPr>
          <w:rFonts w:ascii="仿宋_GB2312" w:hAnsi="Times New Roman" w:eastAsia="仿宋_GB2312"/>
          <w:color w:val="000000" w:themeColor="text1"/>
          <w:sz w:val="28"/>
          <w:szCs w:val="28"/>
          <w14:textFill>
            <w14:solidFill>
              <w14:schemeClr w14:val="tx1"/>
            </w14:solidFill>
          </w14:textFill>
        </w:rPr>
        <w:t>病害有恶苗病、立枯病、</w:t>
      </w:r>
      <w:r>
        <w:rPr>
          <w:rFonts w:hint="eastAsia" w:ascii="仿宋_GB2312" w:hAnsi="Times New Roman" w:eastAsia="仿宋_GB2312"/>
          <w:color w:val="000000" w:themeColor="text1"/>
          <w:sz w:val="28"/>
          <w:szCs w:val="28"/>
          <w14:textFill>
            <w14:solidFill>
              <w14:schemeClr w14:val="tx1"/>
            </w14:solidFill>
          </w14:textFill>
        </w:rPr>
        <w:t>绵腐病</w:t>
      </w:r>
      <w:r>
        <w:rPr>
          <w:rFonts w:ascii="仿宋_GB2312" w:hAnsi="Times New Roman" w:eastAsia="仿宋_GB2312"/>
          <w:color w:val="000000" w:themeColor="text1"/>
          <w:sz w:val="28"/>
          <w:szCs w:val="28"/>
          <w14:textFill>
            <w14:solidFill>
              <w14:schemeClr w14:val="tx1"/>
            </w14:solidFill>
          </w14:textFill>
        </w:rPr>
        <w:t>等，近几年</w:t>
      </w:r>
      <w:r>
        <w:rPr>
          <w:rFonts w:hint="eastAsia" w:ascii="仿宋_GB2312" w:hAnsi="Times New Roman" w:eastAsia="仿宋_GB2312"/>
          <w:color w:val="000000" w:themeColor="text1"/>
          <w:sz w:val="28"/>
          <w:szCs w:val="28"/>
          <w14:textFill>
            <w14:solidFill>
              <w14:schemeClr w14:val="tx1"/>
            </w14:solidFill>
          </w14:textFill>
        </w:rPr>
        <w:t>由于气候、土壤、水稻品种、施肥等因素影响，在黑龙江、江苏、浙江有逐年加重的趋势，给水稻后期产量带来严重影响。</w:t>
      </w:r>
      <w:r>
        <w:rPr>
          <w:rFonts w:ascii="仿宋_GB2312" w:hAnsi="Times New Roman" w:eastAsia="仿宋_GB2312"/>
          <w:color w:val="000000" w:themeColor="text1"/>
          <w:sz w:val="28"/>
          <w:szCs w:val="28"/>
          <w14:textFill>
            <w14:solidFill>
              <w14:schemeClr w14:val="tx1"/>
            </w14:solidFill>
          </w14:textFill>
        </w:rPr>
        <w:t>目前最</w:t>
      </w:r>
      <w:r>
        <w:rPr>
          <w:rFonts w:hint="eastAsia" w:ascii="仿宋_GB2312" w:hAnsi="Times New Roman" w:eastAsia="仿宋_GB2312"/>
          <w:color w:val="000000" w:themeColor="text1"/>
          <w:sz w:val="28"/>
          <w:szCs w:val="28"/>
          <w14:textFill>
            <w14:solidFill>
              <w14:schemeClr w14:val="tx1"/>
            </w14:solidFill>
          </w14:textFill>
        </w:rPr>
        <w:t>经济</w:t>
      </w:r>
      <w:r>
        <w:rPr>
          <w:rFonts w:ascii="仿宋_GB2312" w:hAnsi="Times New Roman" w:eastAsia="仿宋_GB2312"/>
          <w:color w:val="000000" w:themeColor="text1"/>
          <w:sz w:val="28"/>
          <w:szCs w:val="28"/>
          <w14:textFill>
            <w14:solidFill>
              <w14:schemeClr w14:val="tx1"/>
            </w14:solidFill>
          </w14:textFill>
        </w:rPr>
        <w:t>有效的防治方式就是进行种子处理，但</w:t>
      </w:r>
      <w:r>
        <w:rPr>
          <w:rFonts w:hint="eastAsia" w:ascii="仿宋_GB2312" w:hAnsi="Times New Roman" w:eastAsia="仿宋_GB2312"/>
          <w:color w:val="000000" w:themeColor="text1"/>
          <w:sz w:val="28"/>
          <w:szCs w:val="28"/>
          <w14:textFill>
            <w14:solidFill>
              <w14:schemeClr w14:val="tx1"/>
            </w14:solidFill>
          </w14:textFill>
        </w:rPr>
        <w:t>传统种子</w:t>
      </w:r>
      <w:r>
        <w:rPr>
          <w:rFonts w:ascii="仿宋_GB2312" w:hAnsi="Times New Roman" w:eastAsia="仿宋_GB2312"/>
          <w:color w:val="000000" w:themeColor="text1"/>
          <w:sz w:val="28"/>
          <w:szCs w:val="28"/>
          <w14:textFill>
            <w14:solidFill>
              <w14:schemeClr w14:val="tx1"/>
            </w14:solidFill>
          </w14:textFill>
        </w:rPr>
        <w:t>处理过程复杂，环节多</w:t>
      </w:r>
      <w:r>
        <w:rPr>
          <w:rFonts w:hint="eastAsia" w:ascii="仿宋_GB2312" w:hAnsi="Times New Roman" w:eastAsia="仿宋_GB2312"/>
          <w:color w:val="000000" w:themeColor="text1"/>
          <w:sz w:val="28"/>
          <w:szCs w:val="28"/>
          <w14:textFill>
            <w14:solidFill>
              <w14:schemeClr w14:val="tx1"/>
            </w14:solidFill>
          </w14:textFill>
        </w:rPr>
        <w:t>、周期长</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包括</w:t>
      </w:r>
      <w:r>
        <w:rPr>
          <w:rFonts w:ascii="仿宋_GB2312" w:hAnsi="Times New Roman" w:eastAsia="仿宋_GB2312"/>
          <w:color w:val="000000" w:themeColor="text1"/>
          <w:sz w:val="28"/>
          <w:szCs w:val="28"/>
          <w14:textFill>
            <w14:solidFill>
              <w14:schemeClr w14:val="tx1"/>
            </w14:solidFill>
          </w14:textFill>
        </w:rPr>
        <w:t>浸种、催芽、晾芽等过程</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需要大量人力物力，而且对设备、技术、人员操作等要求很高</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同时，浸种时会产生大量废水难以处理，</w:t>
      </w:r>
      <w:r>
        <w:rPr>
          <w:rFonts w:hint="eastAsia" w:ascii="仿宋_GB2312" w:hAnsi="Times New Roman" w:eastAsia="仿宋_GB2312"/>
          <w:color w:val="000000" w:themeColor="text1"/>
          <w:sz w:val="28"/>
          <w:szCs w:val="28"/>
          <w14:textFill>
            <w14:solidFill>
              <w14:schemeClr w14:val="tx1"/>
            </w14:solidFill>
          </w14:textFill>
        </w:rPr>
        <w:t>给农田生态环境带来了较大的隐患</w:t>
      </w:r>
      <w:r>
        <w:rPr>
          <w:rFonts w:ascii="仿宋_GB2312" w:hAnsi="Times New Roman" w:eastAsia="仿宋_GB2312"/>
          <w:color w:val="000000" w:themeColor="text1"/>
          <w:sz w:val="28"/>
          <w:szCs w:val="28"/>
          <w14:textFill>
            <w14:solidFill>
              <w14:schemeClr w14:val="tx1"/>
            </w14:solidFill>
          </w14:textFill>
        </w:rPr>
        <w:t>。</w:t>
      </w:r>
    </w:p>
    <w:p w14:paraId="0DC8E0FC">
      <w:pPr>
        <w:snapToGrid w:val="0"/>
        <w:spacing w:line="56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ascii="仿宋_GB2312" w:hAnsi="Times New Roman" w:eastAsia="仿宋_GB2312"/>
          <w:color w:val="000000" w:themeColor="text1"/>
          <w:sz w:val="28"/>
          <w:szCs w:val="28"/>
          <w14:textFill>
            <w14:solidFill>
              <w14:schemeClr w14:val="tx1"/>
            </w14:solidFill>
          </w14:textFill>
        </w:rPr>
        <w:t>为适应</w:t>
      </w:r>
      <w:r>
        <w:rPr>
          <w:rFonts w:hint="eastAsia" w:ascii="仿宋_GB2312" w:hAnsi="Times New Roman" w:eastAsia="仿宋_GB2312"/>
          <w:color w:val="000000" w:themeColor="text1"/>
          <w:sz w:val="28"/>
          <w:szCs w:val="28"/>
          <w14:textFill>
            <w14:solidFill>
              <w14:schemeClr w14:val="tx1"/>
            </w14:solidFill>
          </w14:textFill>
        </w:rPr>
        <w:t>水稻</w:t>
      </w:r>
      <w:r>
        <w:rPr>
          <w:rFonts w:ascii="仿宋_GB2312" w:hAnsi="Times New Roman" w:eastAsia="仿宋_GB2312"/>
          <w:color w:val="000000" w:themeColor="text1"/>
          <w:sz w:val="28"/>
          <w:szCs w:val="28"/>
          <w14:textFill>
            <w14:solidFill>
              <w14:schemeClr w14:val="tx1"/>
            </w14:solidFill>
          </w14:textFill>
        </w:rPr>
        <w:t>生产需要</w:t>
      </w:r>
      <w:r>
        <w:rPr>
          <w:rFonts w:hint="eastAsia" w:ascii="仿宋_GB2312" w:hAnsi="Times New Roman" w:eastAsia="仿宋_GB2312"/>
          <w:color w:val="000000" w:themeColor="text1"/>
          <w:sz w:val="28"/>
          <w:szCs w:val="28"/>
          <w14:textFill>
            <w14:solidFill>
              <w14:schemeClr w14:val="tx1"/>
            </w14:solidFill>
          </w14:textFill>
        </w:rPr>
        <w:t>和稳粮增收的目标</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产学研技术团队从</w:t>
      </w:r>
      <w:r>
        <w:rPr>
          <w:rFonts w:ascii="仿宋_GB2312" w:hAnsi="Times New Roman" w:eastAsia="仿宋_GB2312"/>
          <w:color w:val="000000" w:themeColor="text1"/>
          <w:sz w:val="28"/>
          <w:szCs w:val="28"/>
          <w14:textFill>
            <w14:solidFill>
              <w14:schemeClr w14:val="tx1"/>
            </w14:solidFill>
          </w14:textFill>
        </w:rPr>
        <w:t>2014年</w:t>
      </w:r>
      <w:r>
        <w:rPr>
          <w:rFonts w:hint="eastAsia" w:ascii="仿宋_GB2312" w:hAnsi="Times New Roman" w:eastAsia="仿宋_GB2312"/>
          <w:color w:val="000000" w:themeColor="text1"/>
          <w:sz w:val="28"/>
          <w:szCs w:val="28"/>
          <w14:textFill>
            <w14:solidFill>
              <w14:schemeClr w14:val="tx1"/>
            </w14:solidFill>
          </w14:textFill>
        </w:rPr>
        <w:t>开始</w:t>
      </w:r>
      <w:r>
        <w:rPr>
          <w:rFonts w:ascii="仿宋_GB2312" w:hAnsi="Times New Roman" w:eastAsia="仿宋_GB2312"/>
          <w:color w:val="000000" w:themeColor="text1"/>
          <w:sz w:val="28"/>
          <w:szCs w:val="28"/>
          <w14:textFill>
            <w14:solidFill>
              <w14:schemeClr w14:val="tx1"/>
            </w14:solidFill>
          </w14:textFill>
        </w:rPr>
        <w:t>水稻干籽播种轻简化育秧</w:t>
      </w:r>
      <w:r>
        <w:rPr>
          <w:rFonts w:hint="eastAsia" w:ascii="仿宋_GB2312" w:hAnsi="Times New Roman" w:eastAsia="仿宋_GB2312"/>
          <w:color w:val="000000" w:themeColor="text1"/>
          <w:sz w:val="28"/>
          <w:szCs w:val="28"/>
          <w14:textFill>
            <w14:solidFill>
              <w14:schemeClr w14:val="tx1"/>
            </w14:solidFill>
          </w14:textFill>
        </w:rPr>
        <w:t>关键</w:t>
      </w:r>
      <w:r>
        <w:rPr>
          <w:rFonts w:ascii="仿宋_GB2312" w:hAnsi="Times New Roman" w:eastAsia="仿宋_GB2312"/>
          <w:color w:val="000000" w:themeColor="text1"/>
          <w:sz w:val="28"/>
          <w:szCs w:val="28"/>
          <w14:textFill>
            <w14:solidFill>
              <w14:schemeClr w14:val="tx1"/>
            </w14:solidFill>
          </w14:textFill>
        </w:rPr>
        <w:t>技术的</w:t>
      </w:r>
      <w:r>
        <w:rPr>
          <w:rFonts w:hint="eastAsia" w:ascii="仿宋_GB2312" w:hAnsi="Times New Roman" w:eastAsia="仿宋_GB2312"/>
          <w:color w:val="000000" w:themeColor="text1"/>
          <w:sz w:val="28"/>
          <w:szCs w:val="28"/>
          <w14:textFill>
            <w14:solidFill>
              <w14:schemeClr w14:val="tx1"/>
            </w14:solidFill>
          </w14:textFill>
        </w:rPr>
        <w:t>研究</w:t>
      </w:r>
      <w:r>
        <w:rPr>
          <w:rFonts w:ascii="仿宋_GB2312" w:hAnsi="Times New Roman" w:eastAsia="仿宋_GB2312"/>
          <w:color w:val="000000" w:themeColor="text1"/>
          <w:sz w:val="28"/>
          <w:szCs w:val="28"/>
          <w14:textFill>
            <w14:solidFill>
              <w14:schemeClr w14:val="tx1"/>
            </w14:solidFill>
          </w14:textFill>
        </w:rPr>
        <w:t>试验。该技术操作简单，使用</w:t>
      </w:r>
      <w:r>
        <w:rPr>
          <w:rFonts w:hint="eastAsia" w:ascii="仿宋_GB2312" w:hAnsi="Times New Roman" w:eastAsia="仿宋_GB2312"/>
          <w:color w:val="000000" w:themeColor="text1"/>
          <w:sz w:val="28"/>
          <w:szCs w:val="28"/>
          <w14:textFill>
            <w14:solidFill>
              <w14:schemeClr w14:val="tx1"/>
            </w14:solidFill>
          </w14:textFill>
        </w:rPr>
        <w:t>不同杀菌谱的</w:t>
      </w:r>
      <w:r>
        <w:rPr>
          <w:rFonts w:ascii="仿宋_GB2312" w:hAnsi="Times New Roman" w:eastAsia="仿宋_GB2312"/>
          <w:color w:val="000000" w:themeColor="text1"/>
          <w:sz w:val="28"/>
          <w:szCs w:val="28"/>
          <w14:textFill>
            <w14:solidFill>
              <w14:schemeClr w14:val="tx1"/>
            </w14:solidFill>
          </w14:textFill>
        </w:rPr>
        <w:t>专用种衣剂组合包衣水稻种子，可直接播种，对苗期</w:t>
      </w:r>
      <w:r>
        <w:rPr>
          <w:rFonts w:hint="eastAsia" w:ascii="仿宋_GB2312" w:hAnsi="Times New Roman" w:eastAsia="仿宋_GB2312"/>
          <w:color w:val="000000" w:themeColor="text1"/>
          <w:sz w:val="28"/>
          <w:szCs w:val="28"/>
          <w14:textFill>
            <w14:solidFill>
              <w14:schemeClr w14:val="tx1"/>
            </w14:solidFill>
          </w14:textFill>
        </w:rPr>
        <w:t>三</w:t>
      </w:r>
      <w:r>
        <w:rPr>
          <w:rFonts w:ascii="仿宋_GB2312" w:hAnsi="Times New Roman" w:eastAsia="仿宋_GB2312"/>
          <w:color w:val="000000" w:themeColor="text1"/>
          <w:sz w:val="28"/>
          <w:szCs w:val="28"/>
          <w14:textFill>
            <w14:solidFill>
              <w14:schemeClr w14:val="tx1"/>
            </w14:solidFill>
          </w14:textFill>
        </w:rPr>
        <w:t>大病害恶苗病、立枯病、</w:t>
      </w:r>
      <w:r>
        <w:rPr>
          <w:rFonts w:hint="eastAsia" w:ascii="仿宋_GB2312" w:hAnsi="Times New Roman" w:eastAsia="仿宋_GB2312"/>
          <w:color w:val="000000" w:themeColor="text1"/>
          <w:sz w:val="28"/>
          <w:szCs w:val="28"/>
          <w14:textFill>
            <w14:solidFill>
              <w14:schemeClr w14:val="tx1"/>
            </w14:solidFill>
          </w14:textFill>
        </w:rPr>
        <w:t>绵腐病防治效果优异，出苗整齐、秧苗素质好，抗逆性强。新技术</w:t>
      </w:r>
      <w:r>
        <w:rPr>
          <w:rFonts w:ascii="仿宋_GB2312" w:hAnsi="Times New Roman" w:eastAsia="仿宋_GB2312"/>
          <w:color w:val="000000" w:themeColor="text1"/>
          <w:sz w:val="28"/>
          <w:szCs w:val="28"/>
          <w14:textFill>
            <w14:solidFill>
              <w14:schemeClr w14:val="tx1"/>
            </w14:solidFill>
          </w14:textFill>
        </w:rPr>
        <w:t>省去了</w:t>
      </w:r>
      <w:r>
        <w:rPr>
          <w:rFonts w:hint="eastAsia" w:ascii="仿宋_GB2312" w:hAnsi="Times New Roman" w:eastAsia="仿宋_GB2312"/>
          <w:color w:val="000000" w:themeColor="text1"/>
          <w:sz w:val="28"/>
          <w:szCs w:val="28"/>
          <w14:textFill>
            <w14:solidFill>
              <w14:schemeClr w14:val="tx1"/>
            </w14:solidFill>
          </w14:textFill>
        </w:rPr>
        <w:t>传统水稻种子处理</w:t>
      </w:r>
      <w:r>
        <w:rPr>
          <w:rFonts w:ascii="仿宋_GB2312" w:hAnsi="Times New Roman" w:eastAsia="仿宋_GB2312"/>
          <w:color w:val="000000" w:themeColor="text1"/>
          <w:sz w:val="28"/>
          <w:szCs w:val="28"/>
          <w14:textFill>
            <w14:solidFill>
              <w14:schemeClr w14:val="tx1"/>
            </w14:solidFill>
          </w14:textFill>
        </w:rPr>
        <w:t>浸种催芽阶段的日常管理（约9</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10天），减少育苗环节50%用工量；与同类药剂相比可以减少50%～70%用药量</w:t>
      </w:r>
      <w:r>
        <w:rPr>
          <w:rFonts w:hint="eastAsia" w:ascii="仿宋_GB2312" w:hAnsi="Times New Roman" w:eastAsia="仿宋_GB2312"/>
          <w:color w:val="000000" w:themeColor="text1"/>
          <w:sz w:val="28"/>
          <w:szCs w:val="28"/>
          <w14:textFill>
            <w14:solidFill>
              <w14:schemeClr w14:val="tx1"/>
            </w14:solidFill>
          </w14:textFill>
        </w:rPr>
        <w:t>，并避免了</w:t>
      </w:r>
      <w:r>
        <w:rPr>
          <w:rFonts w:ascii="仿宋_GB2312" w:hAnsi="Times New Roman" w:eastAsia="仿宋_GB2312"/>
          <w:color w:val="000000" w:themeColor="text1"/>
          <w:sz w:val="28"/>
          <w:szCs w:val="28"/>
          <w14:textFill>
            <w14:solidFill>
              <w14:schemeClr w14:val="tx1"/>
            </w14:solidFill>
          </w14:textFill>
        </w:rPr>
        <w:t>浸种产生</w:t>
      </w:r>
      <w:r>
        <w:rPr>
          <w:rFonts w:hint="eastAsia" w:ascii="仿宋_GB2312" w:hAnsi="Times New Roman" w:eastAsia="仿宋_GB2312"/>
          <w:color w:val="000000" w:themeColor="text1"/>
          <w:sz w:val="28"/>
          <w:szCs w:val="28"/>
          <w14:textFill>
            <w14:solidFill>
              <w14:schemeClr w14:val="tx1"/>
            </w14:solidFill>
          </w14:textFill>
        </w:rPr>
        <w:t>的</w:t>
      </w:r>
      <w:r>
        <w:rPr>
          <w:rFonts w:ascii="仿宋_GB2312" w:hAnsi="Times New Roman" w:eastAsia="仿宋_GB2312"/>
          <w:color w:val="000000" w:themeColor="text1"/>
          <w:sz w:val="28"/>
          <w:szCs w:val="28"/>
          <w14:textFill>
            <w14:solidFill>
              <w14:schemeClr w14:val="tx1"/>
            </w14:solidFill>
          </w14:textFill>
        </w:rPr>
        <w:t>废水</w:t>
      </w:r>
      <w:r>
        <w:rPr>
          <w:rFonts w:hint="eastAsia" w:ascii="仿宋_GB2312" w:hAnsi="Times New Roman" w:eastAsia="仿宋_GB2312"/>
          <w:color w:val="000000" w:themeColor="text1"/>
          <w:sz w:val="28"/>
          <w:szCs w:val="28"/>
          <w14:textFill>
            <w14:solidFill>
              <w14:schemeClr w14:val="tx1"/>
            </w14:solidFill>
          </w14:textFill>
        </w:rPr>
        <w:t>污染农田生态环境等问题</w:t>
      </w:r>
      <w:r>
        <w:rPr>
          <w:rFonts w:ascii="仿宋_GB2312" w:hAnsi="Times New Roman" w:eastAsia="仿宋_GB2312"/>
          <w:color w:val="000000" w:themeColor="text1"/>
          <w:sz w:val="28"/>
          <w:szCs w:val="28"/>
          <w14:textFill>
            <w14:solidFill>
              <w14:schemeClr w14:val="tx1"/>
            </w14:solidFill>
          </w14:textFill>
        </w:rPr>
        <w:t>。</w:t>
      </w:r>
    </w:p>
    <w:p w14:paraId="2C0DD5C1">
      <w:pPr>
        <w:spacing w:line="56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由西北农林科技大学联合全国农技推广服务中心、中国农业大学以及</w:t>
      </w:r>
      <w:r>
        <w:rPr>
          <w:rFonts w:ascii="仿宋_GB2312" w:hAnsi="Times New Roman" w:eastAsia="仿宋_GB2312"/>
          <w:color w:val="000000" w:themeColor="text1"/>
          <w:sz w:val="28"/>
          <w:szCs w:val="28"/>
          <w14:textFill>
            <w14:solidFill>
              <w14:schemeClr w14:val="tx1"/>
            </w14:solidFill>
          </w14:textFill>
        </w:rPr>
        <w:t>黑龙江植检植保站</w:t>
      </w:r>
      <w:r>
        <w:rPr>
          <w:rFonts w:hint="eastAsia" w:ascii="仿宋_GB2312" w:hAnsi="Times New Roman" w:eastAsia="仿宋_GB2312"/>
          <w:color w:val="000000" w:themeColor="text1"/>
          <w:sz w:val="28"/>
          <w:szCs w:val="28"/>
          <w14:textFill>
            <w14:solidFill>
              <w14:schemeClr w14:val="tx1"/>
            </w14:solidFill>
          </w14:textFill>
        </w:rPr>
        <w:t>等农技推广部门合作，</w:t>
      </w:r>
      <w:r>
        <w:rPr>
          <w:rFonts w:ascii="仿宋_GB2312" w:hAnsi="Times New Roman" w:eastAsia="仿宋_GB2312"/>
          <w:color w:val="000000" w:themeColor="text1"/>
          <w:sz w:val="28"/>
          <w:szCs w:val="28"/>
          <w14:textFill>
            <w14:solidFill>
              <w14:schemeClr w14:val="tx1"/>
            </w14:solidFill>
          </w14:textFill>
        </w:rPr>
        <w:t>2015</w:t>
      </w:r>
      <w:r>
        <w:rPr>
          <w:rFonts w:hint="eastAsia" w:ascii="仿宋_GB2312" w:hAnsi="Times New Roman" w:eastAsia="仿宋_GB2312"/>
          <w:color w:val="000000" w:themeColor="text1"/>
          <w:sz w:val="28"/>
          <w:szCs w:val="28"/>
          <w14:textFill>
            <w14:solidFill>
              <w14:schemeClr w14:val="tx1"/>
            </w14:solidFill>
          </w14:textFill>
        </w:rPr>
        <w:t>开始年采用边验证优化边示范推广模式，截至202</w:t>
      </w:r>
      <w:r>
        <w:rPr>
          <w:rFonts w:ascii="仿宋_GB2312" w:hAnsi="Times New Roman" w:eastAsia="仿宋_GB2312"/>
          <w:color w:val="000000" w:themeColor="text1"/>
          <w:sz w:val="28"/>
          <w:szCs w:val="28"/>
          <w14:textFill>
            <w14:solidFill>
              <w14:schemeClr w14:val="tx1"/>
            </w14:solidFill>
          </w14:textFill>
        </w:rPr>
        <w:t>4</w:t>
      </w:r>
      <w:r>
        <w:rPr>
          <w:rFonts w:hint="eastAsia" w:ascii="仿宋_GB2312" w:hAnsi="Times New Roman" w:eastAsia="仿宋_GB2312"/>
          <w:color w:val="000000" w:themeColor="text1"/>
          <w:sz w:val="28"/>
          <w:szCs w:val="28"/>
          <w14:textFill>
            <w14:solidFill>
              <w14:schemeClr w14:val="tx1"/>
            </w14:solidFill>
          </w14:textFill>
        </w:rPr>
        <w:t>年在陕西（陕南地区）、黑龙江、江苏、浙江等地累计推广面积超过1</w:t>
      </w:r>
      <w:r>
        <w:rPr>
          <w:rFonts w:ascii="仿宋_GB2312" w:hAnsi="Times New Roman" w:eastAsia="仿宋_GB2312"/>
          <w:color w:val="000000" w:themeColor="text1"/>
          <w:sz w:val="28"/>
          <w:szCs w:val="28"/>
          <w14:textFill>
            <w14:solidFill>
              <w14:schemeClr w14:val="tx1"/>
            </w14:solidFill>
          </w14:textFill>
        </w:rPr>
        <w:t>000</w:t>
      </w:r>
      <w:r>
        <w:rPr>
          <w:rFonts w:hint="eastAsia" w:ascii="仿宋_GB2312" w:hAnsi="Times New Roman" w:eastAsia="仿宋_GB2312"/>
          <w:color w:val="000000" w:themeColor="text1"/>
          <w:sz w:val="28"/>
          <w:szCs w:val="28"/>
          <w14:textFill>
            <w14:solidFill>
              <w14:schemeClr w14:val="tx1"/>
            </w14:solidFill>
          </w14:textFill>
        </w:rPr>
        <w:t>万亩，取得良好效果，对水稻恶苗病的防治效果达9</w:t>
      </w:r>
      <w:r>
        <w:rPr>
          <w:rFonts w:ascii="仿宋_GB2312" w:hAnsi="Times New Roman" w:eastAsia="仿宋_GB2312"/>
          <w:color w:val="000000" w:themeColor="text1"/>
          <w:sz w:val="28"/>
          <w:szCs w:val="28"/>
          <w14:textFill>
            <w14:solidFill>
              <w14:schemeClr w14:val="tx1"/>
            </w14:solidFill>
          </w14:textFill>
        </w:rPr>
        <w:t>8</w:t>
      </w:r>
      <w:r>
        <w:rPr>
          <w:rFonts w:hint="eastAsia" w:ascii="仿宋_GB2312" w:hAnsi="Times New Roman" w:eastAsia="仿宋_GB2312"/>
          <w:color w:val="000000" w:themeColor="text1"/>
          <w:sz w:val="28"/>
          <w:szCs w:val="28"/>
          <w14:textFill>
            <w14:solidFill>
              <w14:schemeClr w14:val="tx1"/>
            </w14:solidFill>
          </w14:textFill>
        </w:rPr>
        <w:t>%以上，对其他苗期病害防控效果控制在8</w:t>
      </w:r>
      <w:r>
        <w:rPr>
          <w:rFonts w:ascii="仿宋_GB2312" w:hAnsi="Times New Roman" w:eastAsia="仿宋_GB2312"/>
          <w:color w:val="000000" w:themeColor="text1"/>
          <w:sz w:val="28"/>
          <w:szCs w:val="28"/>
          <w14:textFill>
            <w14:solidFill>
              <w14:schemeClr w14:val="tx1"/>
            </w14:solidFill>
          </w14:textFill>
        </w:rPr>
        <w:t>8</w:t>
      </w:r>
      <w:r>
        <w:rPr>
          <w:rFonts w:hint="eastAsia" w:ascii="仿宋_GB2312" w:hAnsi="Times New Roman" w:eastAsia="仿宋_GB2312"/>
          <w:color w:val="000000" w:themeColor="text1"/>
          <w:sz w:val="28"/>
          <w:szCs w:val="28"/>
          <w14:textFill>
            <w14:solidFill>
              <w14:schemeClr w14:val="tx1"/>
            </w14:solidFill>
          </w14:textFill>
        </w:rPr>
        <w:t>%以上，水稻亩均增产5%以上。</w:t>
      </w:r>
    </w:p>
    <w:p w14:paraId="6981788F">
      <w:pPr>
        <w:snapToGrid w:val="0"/>
        <w:spacing w:line="560" w:lineRule="exact"/>
        <w:ind w:firstLine="640"/>
        <w:rPr>
          <w:rFonts w:ascii="Times New Roman" w:hAnsi="Times New Roman" w:eastAsia="楷体_GB2312"/>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（二）推广</w:t>
      </w:r>
      <w:r>
        <w:rPr>
          <w:rFonts w:hint="eastAsia" w:ascii="楷体" w:hAnsi="楷体" w:eastAsia="楷体"/>
          <w:b/>
          <w:bCs/>
          <w:color w:val="000000" w:themeColor="text1"/>
          <w:sz w:val="32"/>
          <w:szCs w:val="32"/>
          <w14:textFill>
            <w14:solidFill>
              <w14:schemeClr w14:val="tx1"/>
            </w14:solidFill>
          </w14:textFill>
        </w:rPr>
        <w:t>应用</w:t>
      </w:r>
      <w:r>
        <w:rPr>
          <w:rFonts w:ascii="楷体" w:hAnsi="楷体" w:eastAsia="楷体"/>
          <w:b/>
          <w:bCs/>
          <w:color w:val="000000" w:themeColor="text1"/>
          <w:sz w:val="32"/>
          <w:szCs w:val="32"/>
          <w14:textFill>
            <w14:solidFill>
              <w14:schemeClr w14:val="tx1"/>
            </w14:solidFill>
          </w14:textFill>
        </w:rPr>
        <w:t>情况</w:t>
      </w:r>
    </w:p>
    <w:p w14:paraId="0A0DFFB4">
      <w:pPr>
        <w:spacing w:line="56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水稻干籽播种轻简化育秧防治苗期主要病害技术适合全国水稻产区广泛应用，尤其近3年在陕西（陕南地区）、黑龙江、江苏、浙江等地示范面积和推广规模快速增长</w:t>
      </w:r>
      <w:r>
        <w:rPr>
          <w:rFonts w:ascii="仿宋_GB2312" w:hAnsi="Times New Roman" w:eastAsia="仿宋_GB2312"/>
          <w:color w:val="000000" w:themeColor="text1"/>
          <w:sz w:val="28"/>
          <w:szCs w:val="28"/>
          <w14:textFill>
            <w14:solidFill>
              <w14:schemeClr w14:val="tx1"/>
            </w14:solidFill>
          </w14:textFill>
        </w:rPr>
        <w:t>。该项技术从2015年开始</w:t>
      </w:r>
      <w:r>
        <w:rPr>
          <w:rFonts w:hint="eastAsia" w:ascii="仿宋_GB2312" w:hAnsi="Times New Roman" w:eastAsia="仿宋_GB2312"/>
          <w:color w:val="000000" w:themeColor="text1"/>
          <w:sz w:val="28"/>
          <w:szCs w:val="28"/>
          <w14:textFill>
            <w14:solidFill>
              <w14:schemeClr w14:val="tx1"/>
            </w14:solidFill>
          </w14:textFill>
        </w:rPr>
        <w:t>一边进行验证优化，一边开展示范和推广</w:t>
      </w:r>
      <w:r>
        <w:rPr>
          <w:rFonts w:ascii="仿宋_GB2312" w:hAnsi="Times New Roman" w:eastAsia="仿宋_GB2312"/>
          <w:color w:val="000000" w:themeColor="text1"/>
          <w:sz w:val="28"/>
          <w:szCs w:val="28"/>
          <w14:textFill>
            <w14:solidFill>
              <w14:schemeClr w14:val="tx1"/>
            </w14:solidFill>
          </w14:textFill>
        </w:rPr>
        <w:t>，经过9年的试验与应用，</w:t>
      </w:r>
      <w:r>
        <w:rPr>
          <w:rFonts w:hint="eastAsia" w:ascii="仿宋_GB2312" w:hAnsi="Times New Roman" w:eastAsia="仿宋_GB2312"/>
          <w:color w:val="000000" w:themeColor="text1"/>
          <w:sz w:val="28"/>
          <w:szCs w:val="28"/>
          <w14:textFill>
            <w14:solidFill>
              <w14:schemeClr w14:val="tx1"/>
            </w14:solidFill>
          </w14:textFill>
        </w:rPr>
        <w:t>目前</w:t>
      </w:r>
      <w:r>
        <w:rPr>
          <w:rFonts w:ascii="仿宋_GB2312" w:hAnsi="Times New Roman" w:eastAsia="仿宋_GB2312"/>
          <w:color w:val="000000" w:themeColor="text1"/>
          <w:sz w:val="28"/>
          <w:szCs w:val="28"/>
          <w14:textFill>
            <w14:solidFill>
              <w14:schemeClr w14:val="tx1"/>
            </w14:solidFill>
          </w14:textFill>
        </w:rPr>
        <w:t>累计推广超过</w:t>
      </w:r>
      <w:r>
        <w:rPr>
          <w:rFonts w:hint="eastAsia" w:ascii="仿宋_GB2312" w:hAnsi="Times New Roman" w:eastAsia="仿宋_GB2312"/>
          <w:color w:val="000000" w:themeColor="text1"/>
          <w:sz w:val="28"/>
          <w:szCs w:val="28"/>
          <w14:textFill>
            <w14:solidFill>
              <w14:schemeClr w14:val="tx1"/>
            </w14:solidFill>
          </w14:textFill>
        </w:rPr>
        <w:t>1000</w:t>
      </w:r>
      <w:r>
        <w:rPr>
          <w:rFonts w:ascii="仿宋_GB2312" w:hAnsi="Times New Roman" w:eastAsia="仿宋_GB2312"/>
          <w:color w:val="000000" w:themeColor="text1"/>
          <w:sz w:val="28"/>
          <w:szCs w:val="28"/>
          <w14:textFill>
            <w14:solidFill>
              <w14:schemeClr w14:val="tx1"/>
            </w14:solidFill>
          </w14:textFill>
        </w:rPr>
        <w:t>万亩</w:t>
      </w:r>
      <w:r>
        <w:rPr>
          <w:rFonts w:hint="eastAsia" w:ascii="仿宋_GB2312" w:hAnsi="Times New Roman" w:eastAsia="仿宋_GB2312"/>
          <w:color w:val="000000" w:themeColor="text1"/>
          <w:sz w:val="28"/>
          <w:szCs w:val="28"/>
          <w14:textFill>
            <w14:solidFill>
              <w14:schemeClr w14:val="tx1"/>
            </w14:solidFill>
          </w14:textFill>
        </w:rPr>
        <w:t>，近三年推广面积达5</w:t>
      </w:r>
      <w:r>
        <w:rPr>
          <w:rFonts w:ascii="仿宋_GB2312" w:hAnsi="Times New Roman" w:eastAsia="仿宋_GB2312"/>
          <w:color w:val="000000" w:themeColor="text1"/>
          <w:sz w:val="28"/>
          <w:szCs w:val="28"/>
          <w14:textFill>
            <w14:solidFill>
              <w14:schemeClr w14:val="tx1"/>
            </w14:solidFill>
          </w14:textFill>
        </w:rPr>
        <w:t>00</w:t>
      </w:r>
      <w:r>
        <w:rPr>
          <w:rFonts w:hint="eastAsia" w:ascii="仿宋_GB2312" w:hAnsi="Times New Roman" w:eastAsia="仿宋_GB2312"/>
          <w:color w:val="000000" w:themeColor="text1"/>
          <w:sz w:val="28"/>
          <w:szCs w:val="28"/>
          <w14:textFill>
            <w14:solidFill>
              <w14:schemeClr w14:val="tx1"/>
            </w14:solidFill>
          </w14:textFill>
        </w:rPr>
        <w:t>万亩以上。</w:t>
      </w:r>
    </w:p>
    <w:p w14:paraId="01F213DA">
      <w:pPr>
        <w:snapToGrid w:val="0"/>
        <w:spacing w:line="560" w:lineRule="exact"/>
        <w:ind w:firstLine="640"/>
        <w:rPr>
          <w:rFonts w:ascii="Times New Roman" w:hAnsi="Times New Roman" w:eastAsia="楷体_GB2312"/>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（三）提质增效情况</w:t>
      </w:r>
    </w:p>
    <w:p w14:paraId="3EF03F3A">
      <w:pPr>
        <w:spacing w:line="56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使用该技术</w:t>
      </w:r>
      <w:r>
        <w:rPr>
          <w:rFonts w:ascii="仿宋_GB2312" w:hAnsi="Times New Roman" w:eastAsia="仿宋_GB2312"/>
          <w:color w:val="000000" w:themeColor="text1"/>
          <w:sz w:val="28"/>
          <w:szCs w:val="28"/>
          <w14:textFill>
            <w14:solidFill>
              <w14:schemeClr w14:val="tx1"/>
            </w14:solidFill>
          </w14:textFill>
        </w:rPr>
        <w:t>处理</w:t>
      </w:r>
      <w:r>
        <w:rPr>
          <w:rFonts w:hint="eastAsia" w:ascii="仿宋_GB2312" w:hAnsi="Times New Roman" w:eastAsia="仿宋_GB2312"/>
          <w:color w:val="000000" w:themeColor="text1"/>
          <w:sz w:val="28"/>
          <w:szCs w:val="28"/>
          <w14:textFill>
            <w14:solidFill>
              <w14:schemeClr w14:val="tx1"/>
            </w14:solidFill>
          </w14:textFill>
        </w:rPr>
        <w:t>水稻</w:t>
      </w:r>
      <w:r>
        <w:rPr>
          <w:rFonts w:ascii="仿宋_GB2312" w:hAnsi="Times New Roman" w:eastAsia="仿宋_GB2312"/>
          <w:color w:val="000000" w:themeColor="text1"/>
          <w:sz w:val="28"/>
          <w:szCs w:val="28"/>
          <w14:textFill>
            <w14:solidFill>
              <w14:schemeClr w14:val="tx1"/>
            </w14:solidFill>
          </w14:textFill>
        </w:rPr>
        <w:t>种子后直接用于播种，与传统水稻育秧播前种子处理方式相比</w:t>
      </w:r>
      <w:r>
        <w:rPr>
          <w:rFonts w:hint="eastAsia" w:ascii="仿宋_GB2312" w:hAnsi="Times New Roman" w:eastAsia="仿宋_GB2312"/>
          <w:color w:val="000000" w:themeColor="text1"/>
          <w:sz w:val="28"/>
          <w:szCs w:val="28"/>
          <w14:textFill>
            <w14:solidFill>
              <w14:schemeClr w14:val="tx1"/>
            </w14:solidFill>
          </w14:textFill>
        </w:rPr>
        <w:t>具有以下优势：</w:t>
      </w:r>
    </w:p>
    <w:p w14:paraId="21B67448">
      <w:pPr>
        <w:spacing w:line="560" w:lineRule="exact"/>
        <w:ind w:firstLine="551" w:firstLineChars="196"/>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b/>
          <w:color w:val="000000" w:themeColor="text1"/>
          <w:sz w:val="28"/>
          <w:szCs w:val="28"/>
          <w14:textFill>
            <w14:solidFill>
              <w14:schemeClr w14:val="tx1"/>
            </w14:solidFill>
          </w14:textFill>
        </w:rPr>
        <w:t>1、</w:t>
      </w:r>
      <w:r>
        <w:rPr>
          <w:rFonts w:ascii="仿宋_GB2312" w:hAnsi="Times New Roman" w:eastAsia="仿宋_GB2312"/>
          <w:b/>
          <w:color w:val="000000" w:themeColor="text1"/>
          <w:sz w:val="28"/>
          <w:szCs w:val="28"/>
          <w14:textFill>
            <w14:solidFill>
              <w14:schemeClr w14:val="tx1"/>
            </w14:solidFill>
          </w14:textFill>
        </w:rPr>
        <w:t>节省了浸种、催芽、晾芽等过程，具有省工</w:t>
      </w:r>
      <w:r>
        <w:rPr>
          <w:rFonts w:hint="eastAsia" w:ascii="仿宋_GB2312" w:hAnsi="Times New Roman" w:eastAsia="仿宋_GB2312"/>
          <w:b/>
          <w:color w:val="000000" w:themeColor="text1"/>
          <w:sz w:val="28"/>
          <w:szCs w:val="28"/>
          <w14:textFill>
            <w14:solidFill>
              <w14:schemeClr w14:val="tx1"/>
            </w14:solidFill>
          </w14:textFill>
        </w:rPr>
        <w:t>、省药、</w:t>
      </w:r>
      <w:r>
        <w:rPr>
          <w:rFonts w:ascii="仿宋_GB2312" w:hAnsi="Times New Roman" w:eastAsia="仿宋_GB2312"/>
          <w:b/>
          <w:color w:val="000000" w:themeColor="text1"/>
          <w:sz w:val="28"/>
          <w:szCs w:val="28"/>
          <w14:textFill>
            <w14:solidFill>
              <w14:schemeClr w14:val="tx1"/>
            </w14:solidFill>
          </w14:textFill>
        </w:rPr>
        <w:t>省力</w:t>
      </w:r>
      <w:r>
        <w:rPr>
          <w:rFonts w:hint="eastAsia" w:ascii="仿宋_GB2312" w:hAnsi="Times New Roman" w:eastAsia="仿宋_GB2312"/>
          <w:b/>
          <w:color w:val="000000" w:themeColor="text1"/>
          <w:sz w:val="28"/>
          <w:szCs w:val="28"/>
          <w14:textFill>
            <w14:solidFill>
              <w14:schemeClr w14:val="tx1"/>
            </w14:solidFill>
          </w14:textFill>
        </w:rPr>
        <w:t>、</w:t>
      </w:r>
      <w:r>
        <w:rPr>
          <w:rFonts w:ascii="仿宋_GB2312" w:hAnsi="Times New Roman" w:eastAsia="仿宋_GB2312"/>
          <w:b/>
          <w:color w:val="000000" w:themeColor="text1"/>
          <w:sz w:val="28"/>
          <w:szCs w:val="28"/>
          <w14:textFill>
            <w14:solidFill>
              <w14:schemeClr w14:val="tx1"/>
            </w14:solidFill>
          </w14:textFill>
        </w:rPr>
        <w:t>省</w:t>
      </w:r>
      <w:r>
        <w:rPr>
          <w:rFonts w:hint="eastAsia" w:ascii="仿宋_GB2312" w:hAnsi="Times New Roman" w:eastAsia="仿宋_GB2312"/>
          <w:b/>
          <w:color w:val="000000" w:themeColor="text1"/>
          <w:sz w:val="28"/>
          <w:szCs w:val="28"/>
          <w14:textFill>
            <w14:solidFill>
              <w14:schemeClr w14:val="tx1"/>
            </w14:solidFill>
          </w14:textFill>
        </w:rPr>
        <w:t>时、安全高效、绿色环保</w:t>
      </w:r>
      <w:r>
        <w:rPr>
          <w:rFonts w:ascii="仿宋_GB2312" w:hAnsi="Times New Roman" w:eastAsia="仿宋_GB2312"/>
          <w:b/>
          <w:color w:val="000000" w:themeColor="text1"/>
          <w:sz w:val="28"/>
          <w:szCs w:val="28"/>
          <w14:textFill>
            <w14:solidFill>
              <w14:schemeClr w14:val="tx1"/>
            </w14:solidFill>
          </w14:textFill>
        </w:rPr>
        <w:t>的特点。</w:t>
      </w:r>
      <w:r>
        <w:rPr>
          <w:rFonts w:ascii="仿宋_GB2312" w:hAnsi="Times New Roman" w:eastAsia="仿宋_GB2312"/>
          <w:color w:val="000000" w:themeColor="text1"/>
          <w:sz w:val="28"/>
          <w:szCs w:val="28"/>
          <w14:textFill>
            <w14:solidFill>
              <w14:schemeClr w14:val="tx1"/>
            </w14:solidFill>
          </w14:textFill>
        </w:rPr>
        <w:t>省去了浸种催芽阶段的日常管理（约9</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10天），减少育苗环节50%用工量；与同类药剂相比可以减少 50%～70% 用药量；</w:t>
      </w:r>
      <w:r>
        <w:rPr>
          <w:rFonts w:hint="eastAsia" w:ascii="仿宋_GB2312" w:hAnsi="Times New Roman" w:eastAsia="仿宋_GB2312"/>
          <w:color w:val="000000" w:themeColor="text1"/>
          <w:sz w:val="28"/>
          <w:szCs w:val="28"/>
          <w14:textFill>
            <w14:solidFill>
              <w14:schemeClr w14:val="tx1"/>
            </w14:solidFill>
          </w14:textFill>
        </w:rPr>
        <w:t>百分之百</w:t>
      </w:r>
      <w:r>
        <w:rPr>
          <w:rFonts w:ascii="仿宋_GB2312" w:hAnsi="Times New Roman" w:eastAsia="仿宋_GB2312"/>
          <w:color w:val="000000" w:themeColor="text1"/>
          <w:sz w:val="28"/>
          <w:szCs w:val="28"/>
          <w14:textFill>
            <w14:solidFill>
              <w14:schemeClr w14:val="tx1"/>
            </w14:solidFill>
          </w14:textFill>
        </w:rPr>
        <w:t>减少因浸种而产生的废水及部分药液损失</w:t>
      </w:r>
      <w:r>
        <w:rPr>
          <w:rFonts w:hint="eastAsia" w:ascii="仿宋_GB2312" w:hAnsi="Times New Roman" w:eastAsia="仿宋_GB2312"/>
          <w:color w:val="000000" w:themeColor="text1"/>
          <w:sz w:val="28"/>
          <w:szCs w:val="28"/>
          <w14:textFill>
            <w14:solidFill>
              <w14:schemeClr w14:val="tx1"/>
            </w14:solidFill>
          </w14:textFill>
        </w:rPr>
        <w:t>，对环境更友好</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并</w:t>
      </w:r>
      <w:r>
        <w:rPr>
          <w:rFonts w:ascii="仿宋_GB2312" w:hAnsi="Times New Roman" w:eastAsia="仿宋_GB2312"/>
          <w:color w:val="000000" w:themeColor="text1"/>
          <w:sz w:val="28"/>
          <w:szCs w:val="28"/>
          <w14:textFill>
            <w14:solidFill>
              <w14:schemeClr w14:val="tx1"/>
            </w14:solidFill>
          </w14:textFill>
        </w:rPr>
        <w:t>能够提高药效及</w:t>
      </w:r>
      <w:r>
        <w:rPr>
          <w:rFonts w:hint="eastAsia" w:ascii="仿宋_GB2312" w:hAnsi="Times New Roman" w:eastAsia="仿宋_GB2312"/>
          <w:color w:val="000000" w:themeColor="text1"/>
          <w:sz w:val="28"/>
          <w:szCs w:val="28"/>
          <w14:textFill>
            <w14:solidFill>
              <w14:schemeClr w14:val="tx1"/>
            </w14:solidFill>
          </w14:textFill>
        </w:rPr>
        <w:t>农药</w:t>
      </w:r>
      <w:r>
        <w:rPr>
          <w:rFonts w:ascii="仿宋_GB2312" w:hAnsi="Times New Roman" w:eastAsia="仿宋_GB2312"/>
          <w:color w:val="000000" w:themeColor="text1"/>
          <w:sz w:val="28"/>
          <w:szCs w:val="28"/>
          <w14:textFill>
            <w14:solidFill>
              <w14:schemeClr w14:val="tx1"/>
            </w14:solidFill>
          </w14:textFill>
        </w:rPr>
        <w:t>利用率；减少了药剂用量和人工成本投入</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每</w:t>
      </w:r>
      <w:r>
        <w:rPr>
          <w:rFonts w:hint="eastAsia" w:ascii="仿宋_GB2312" w:hAnsi="Times New Roman" w:eastAsia="仿宋_GB2312"/>
          <w:color w:val="000000" w:themeColor="text1"/>
          <w:sz w:val="28"/>
          <w:szCs w:val="28"/>
          <w14:textFill>
            <w14:solidFill>
              <w14:schemeClr w14:val="tx1"/>
            </w14:solidFill>
          </w14:textFill>
        </w:rPr>
        <w:t>亩</w:t>
      </w:r>
      <w:r>
        <w:rPr>
          <w:rFonts w:ascii="仿宋_GB2312" w:hAnsi="Times New Roman" w:eastAsia="仿宋_GB2312"/>
          <w:color w:val="000000" w:themeColor="text1"/>
          <w:sz w:val="28"/>
          <w:szCs w:val="28"/>
          <w14:textFill>
            <w14:solidFill>
              <w14:schemeClr w14:val="tx1"/>
            </w14:solidFill>
          </w14:textFill>
        </w:rPr>
        <w:t>可节省约</w:t>
      </w:r>
      <w:r>
        <w:rPr>
          <w:rFonts w:hint="eastAsia" w:ascii="仿宋_GB2312" w:hAnsi="Times New Roman" w:eastAsia="仿宋_GB2312"/>
          <w:color w:val="000000" w:themeColor="text1"/>
          <w:sz w:val="28"/>
          <w:szCs w:val="28"/>
          <w14:textFill>
            <w14:solidFill>
              <w14:schemeClr w14:val="tx1"/>
            </w14:solidFill>
          </w14:textFill>
        </w:rPr>
        <w:t>10</w:t>
      </w:r>
      <w:r>
        <w:rPr>
          <w:rFonts w:ascii="仿宋_GB2312" w:hAnsi="Times New Roman" w:eastAsia="仿宋_GB2312"/>
          <w:color w:val="000000" w:themeColor="text1"/>
          <w:sz w:val="28"/>
          <w:szCs w:val="28"/>
          <w14:textFill>
            <w14:solidFill>
              <w14:schemeClr w14:val="tx1"/>
            </w14:solidFill>
          </w14:textFill>
        </w:rPr>
        <w:t>元</w:t>
      </w:r>
      <w:r>
        <w:rPr>
          <w:rFonts w:hint="eastAsia" w:ascii="仿宋_GB2312" w:hAnsi="Times New Roman" w:eastAsia="仿宋_GB2312"/>
          <w:color w:val="000000" w:themeColor="text1"/>
          <w:sz w:val="28"/>
          <w:szCs w:val="28"/>
          <w14:textFill>
            <w14:solidFill>
              <w14:schemeClr w14:val="tx1"/>
            </w14:solidFill>
          </w14:textFill>
        </w:rPr>
        <w:t>左右</w:t>
      </w:r>
      <w:r>
        <w:rPr>
          <w:rFonts w:ascii="仿宋_GB2312" w:hAnsi="Times New Roman" w:eastAsia="仿宋_GB2312"/>
          <w:color w:val="000000" w:themeColor="text1"/>
          <w:sz w:val="28"/>
          <w:szCs w:val="28"/>
          <w14:textFill>
            <w14:solidFill>
              <w14:schemeClr w14:val="tx1"/>
            </w14:solidFill>
          </w14:textFill>
        </w:rPr>
        <w:t>的成本投入</w:t>
      </w:r>
      <w:r>
        <w:rPr>
          <w:rFonts w:hint="eastAsia" w:ascii="仿宋_GB2312" w:hAnsi="Times New Roman" w:eastAsia="仿宋_GB2312"/>
          <w:color w:val="000000" w:themeColor="text1"/>
          <w:sz w:val="28"/>
          <w:szCs w:val="28"/>
          <w14:textFill>
            <w14:solidFill>
              <w14:schemeClr w14:val="tx1"/>
            </w14:solidFill>
          </w14:textFill>
        </w:rPr>
        <w:t>。</w:t>
      </w:r>
    </w:p>
    <w:p w14:paraId="6F97C153">
      <w:pPr>
        <w:spacing w:line="560" w:lineRule="exact"/>
        <w:ind w:firstLine="551" w:firstLineChars="196"/>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b/>
          <w:color w:val="000000" w:themeColor="text1"/>
          <w:sz w:val="28"/>
          <w:szCs w:val="28"/>
          <w14:textFill>
            <w14:solidFill>
              <w14:schemeClr w14:val="tx1"/>
            </w14:solidFill>
          </w14:textFill>
        </w:rPr>
        <w:t>2、</w:t>
      </w:r>
      <w:r>
        <w:rPr>
          <w:rFonts w:ascii="仿宋_GB2312" w:hAnsi="Times New Roman" w:eastAsia="仿宋_GB2312"/>
          <w:b/>
          <w:color w:val="000000" w:themeColor="text1"/>
          <w:sz w:val="28"/>
          <w:szCs w:val="28"/>
          <w14:textFill>
            <w14:solidFill>
              <w14:schemeClr w14:val="tx1"/>
            </w14:solidFill>
          </w14:textFill>
        </w:rPr>
        <w:t>实现</w:t>
      </w:r>
      <w:r>
        <w:rPr>
          <w:rFonts w:hint="eastAsia" w:ascii="仿宋_GB2312" w:hAnsi="Times New Roman" w:eastAsia="仿宋_GB2312"/>
          <w:b/>
          <w:color w:val="000000" w:themeColor="text1"/>
          <w:sz w:val="28"/>
          <w:szCs w:val="28"/>
          <w14:textFill>
            <w14:solidFill>
              <w14:schemeClr w14:val="tx1"/>
            </w14:solidFill>
          </w14:textFill>
        </w:rPr>
        <w:t>了“苗</w:t>
      </w:r>
      <w:r>
        <w:rPr>
          <w:rFonts w:ascii="仿宋_GB2312" w:hAnsi="Times New Roman" w:eastAsia="仿宋_GB2312"/>
          <w:b/>
          <w:color w:val="000000" w:themeColor="text1"/>
          <w:sz w:val="28"/>
          <w:szCs w:val="28"/>
          <w14:textFill>
            <w14:solidFill>
              <w14:schemeClr w14:val="tx1"/>
            </w14:solidFill>
          </w14:textFill>
        </w:rPr>
        <w:t>齐</w:t>
      </w:r>
      <w:r>
        <w:rPr>
          <w:rFonts w:hint="eastAsia" w:ascii="仿宋_GB2312" w:hAnsi="Times New Roman" w:eastAsia="仿宋_GB2312"/>
          <w:b/>
          <w:color w:val="000000" w:themeColor="text1"/>
          <w:sz w:val="28"/>
          <w:szCs w:val="28"/>
          <w14:textFill>
            <w14:solidFill>
              <w14:schemeClr w14:val="tx1"/>
            </w14:solidFill>
          </w14:textFill>
        </w:rPr>
        <w:t>、</w:t>
      </w:r>
      <w:r>
        <w:rPr>
          <w:rFonts w:ascii="仿宋_GB2312" w:hAnsi="Times New Roman" w:eastAsia="仿宋_GB2312"/>
          <w:b/>
          <w:color w:val="000000" w:themeColor="text1"/>
          <w:sz w:val="28"/>
          <w:szCs w:val="28"/>
          <w14:textFill>
            <w14:solidFill>
              <w14:schemeClr w14:val="tx1"/>
            </w14:solidFill>
          </w14:textFill>
        </w:rPr>
        <w:t>苗壮</w:t>
      </w:r>
      <w:r>
        <w:rPr>
          <w:rFonts w:hint="eastAsia" w:ascii="仿宋_GB2312" w:hAnsi="Times New Roman" w:eastAsia="仿宋_GB2312"/>
          <w:b/>
          <w:color w:val="000000" w:themeColor="text1"/>
          <w:sz w:val="28"/>
          <w:szCs w:val="28"/>
          <w14:textFill>
            <w14:solidFill>
              <w14:schemeClr w14:val="tx1"/>
            </w14:solidFill>
          </w14:textFill>
        </w:rPr>
        <w:t>、抗逆好”的</w:t>
      </w:r>
      <w:r>
        <w:rPr>
          <w:rFonts w:ascii="仿宋_GB2312" w:hAnsi="Times New Roman" w:eastAsia="仿宋_GB2312"/>
          <w:b/>
          <w:color w:val="000000" w:themeColor="text1"/>
          <w:sz w:val="28"/>
          <w:szCs w:val="28"/>
          <w14:textFill>
            <w14:solidFill>
              <w14:schemeClr w14:val="tx1"/>
            </w14:solidFill>
          </w14:textFill>
        </w:rPr>
        <w:t>育壮苗</w:t>
      </w:r>
      <w:r>
        <w:rPr>
          <w:rFonts w:hint="eastAsia" w:ascii="仿宋_GB2312" w:hAnsi="Times New Roman" w:eastAsia="仿宋_GB2312"/>
          <w:b/>
          <w:color w:val="000000" w:themeColor="text1"/>
          <w:sz w:val="28"/>
          <w:szCs w:val="28"/>
          <w14:textFill>
            <w14:solidFill>
              <w14:schemeClr w14:val="tx1"/>
            </w14:solidFill>
          </w14:textFill>
        </w:rPr>
        <w:t>目标：</w:t>
      </w:r>
      <w:r>
        <w:rPr>
          <w:rFonts w:hint="eastAsia" w:ascii="仿宋_GB2312" w:hAnsi="Times New Roman" w:eastAsia="仿宋_GB2312"/>
          <w:color w:val="000000" w:themeColor="text1"/>
          <w:sz w:val="28"/>
          <w:szCs w:val="28"/>
          <w14:textFill>
            <w14:solidFill>
              <w14:schemeClr w14:val="tx1"/>
            </w14:solidFill>
          </w14:textFill>
        </w:rPr>
        <w:t>水稻</w:t>
      </w:r>
      <w:r>
        <w:rPr>
          <w:rFonts w:ascii="仿宋_GB2312" w:hAnsi="Times New Roman" w:eastAsia="仿宋_GB2312"/>
          <w:color w:val="000000" w:themeColor="text1"/>
          <w:sz w:val="28"/>
          <w:szCs w:val="28"/>
          <w14:textFill>
            <w14:solidFill>
              <w14:schemeClr w14:val="tx1"/>
            </w14:solidFill>
          </w14:textFill>
        </w:rPr>
        <w:t>干籽育秧专用</w:t>
      </w:r>
      <w:r>
        <w:rPr>
          <w:rFonts w:hint="eastAsia" w:ascii="仿宋_GB2312" w:hAnsi="Times New Roman" w:eastAsia="仿宋_GB2312"/>
          <w:color w:val="000000" w:themeColor="text1"/>
          <w:sz w:val="28"/>
          <w:szCs w:val="28"/>
          <w14:textFill>
            <w14:solidFill>
              <w14:schemeClr w14:val="tx1"/>
            </w14:solidFill>
          </w14:textFill>
        </w:rPr>
        <w:t>种衣剂（200g/L</w:t>
      </w:r>
      <w:r>
        <w:rPr>
          <w:rFonts w:ascii="仿宋_GB2312" w:hAnsi="Times New Roman" w:eastAsia="仿宋_GB2312"/>
          <w:color w:val="000000" w:themeColor="text1"/>
          <w:sz w:val="28"/>
          <w:szCs w:val="28"/>
          <w14:textFill>
            <w14:solidFill>
              <w14:schemeClr w14:val="tx1"/>
            </w14:solidFill>
          </w14:textFill>
        </w:rPr>
        <w:t>氟唑</w:t>
      </w:r>
      <w:r>
        <w:rPr>
          <w:rFonts w:hint="eastAsia" w:ascii="仿宋_GB2312" w:hAnsi="Times New Roman" w:eastAsia="仿宋_GB2312"/>
          <w:color w:val="000000" w:themeColor="text1"/>
          <w:sz w:val="28"/>
          <w:szCs w:val="28"/>
          <w14:textFill>
            <w14:solidFill>
              <w14:schemeClr w14:val="tx1"/>
            </w14:solidFill>
          </w14:textFill>
        </w:rPr>
        <w:t>菌</w:t>
      </w:r>
      <w:r>
        <w:rPr>
          <w:rFonts w:ascii="仿宋_GB2312" w:hAnsi="Times New Roman" w:eastAsia="仿宋_GB2312"/>
          <w:color w:val="000000" w:themeColor="text1"/>
          <w:sz w:val="28"/>
          <w:szCs w:val="28"/>
          <w14:textFill>
            <w14:solidFill>
              <w14:schemeClr w14:val="tx1"/>
            </w14:solidFill>
          </w14:textFill>
        </w:rPr>
        <w:t>酰</w:t>
      </w:r>
      <w:r>
        <w:rPr>
          <w:rFonts w:hint="eastAsia" w:ascii="仿宋_GB2312" w:hAnsi="Times New Roman" w:eastAsia="仿宋_GB2312"/>
          <w:bCs/>
          <w:color w:val="000000" w:themeColor="text1"/>
          <w:sz w:val="28"/>
          <w:szCs w:val="28"/>
          <w14:textFill>
            <w14:solidFill>
              <w14:schemeClr w14:val="tx1"/>
            </w14:solidFill>
          </w14:textFill>
        </w:rPr>
        <w:t>羟</w:t>
      </w:r>
      <w:r>
        <w:rPr>
          <w:rFonts w:ascii="仿宋_GB2312" w:hAnsi="Times New Roman" w:eastAsia="仿宋_GB2312"/>
          <w:color w:val="000000" w:themeColor="text1"/>
          <w:sz w:val="28"/>
          <w:szCs w:val="28"/>
          <w14:textFill>
            <w14:solidFill>
              <w14:schemeClr w14:val="tx1"/>
            </w14:solidFill>
          </w14:textFill>
        </w:rPr>
        <w:t>胺</w:t>
      </w:r>
      <w:r>
        <w:rPr>
          <w:rFonts w:hint="eastAsia" w:ascii="仿宋_GB2312" w:hAnsi="Times New Roman" w:eastAsia="仿宋_GB2312"/>
          <w:color w:val="000000" w:themeColor="text1"/>
          <w:sz w:val="28"/>
          <w:szCs w:val="28"/>
          <w14:textFill>
            <w14:solidFill>
              <w14:schemeClr w14:val="tx1"/>
            </w14:solidFill>
          </w14:textFill>
        </w:rPr>
        <w:t>、29.5%</w:t>
      </w:r>
      <w:r>
        <w:rPr>
          <w:rFonts w:ascii="仿宋_GB2312" w:hAnsi="Times New Roman" w:eastAsia="仿宋_GB2312"/>
          <w:color w:val="000000" w:themeColor="text1"/>
          <w:sz w:val="28"/>
          <w:szCs w:val="28"/>
          <w14:textFill>
            <w14:solidFill>
              <w14:schemeClr w14:val="tx1"/>
            </w14:solidFill>
          </w14:textFill>
        </w:rPr>
        <w:t>丙硫</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咯菌腈</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噻虫胺、</w:t>
      </w:r>
      <w:r>
        <w:rPr>
          <w:rFonts w:hint="eastAsia" w:ascii="仿宋_GB2312" w:hAnsi="Times New Roman" w:eastAsia="仿宋_GB2312"/>
          <w:color w:val="000000" w:themeColor="text1"/>
          <w:sz w:val="28"/>
          <w:szCs w:val="28"/>
          <w14:textFill>
            <w14:solidFill>
              <w14:schemeClr w14:val="tx1"/>
            </w14:solidFill>
          </w14:textFill>
        </w:rPr>
        <w:t>11%</w:t>
      </w:r>
      <w:r>
        <w:rPr>
          <w:rFonts w:ascii="仿宋_GB2312" w:hAnsi="Times New Roman" w:eastAsia="仿宋_GB2312"/>
          <w:color w:val="000000" w:themeColor="text1"/>
          <w:sz w:val="28"/>
          <w:szCs w:val="28"/>
          <w14:textFill>
            <w14:solidFill>
              <w14:schemeClr w14:val="tx1"/>
            </w14:solidFill>
          </w14:textFill>
        </w:rPr>
        <w:t>氟环</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咯</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精甲、</w:t>
      </w:r>
      <w:r>
        <w:rPr>
          <w:rFonts w:hint="eastAsia" w:ascii="仿宋_GB2312" w:hAnsi="Times New Roman" w:eastAsia="仿宋_GB2312"/>
          <w:color w:val="000000" w:themeColor="text1"/>
          <w:sz w:val="28"/>
          <w:szCs w:val="28"/>
          <w14:textFill>
            <w14:solidFill>
              <w14:schemeClr w14:val="tx1"/>
            </w14:solidFill>
          </w14:textFill>
        </w:rPr>
        <w:t>62.5g/L</w:t>
      </w:r>
      <w:r>
        <w:rPr>
          <w:rFonts w:ascii="仿宋_GB2312" w:hAnsi="Times New Roman" w:eastAsia="仿宋_GB2312"/>
          <w:color w:val="000000" w:themeColor="text1"/>
          <w:sz w:val="28"/>
          <w:szCs w:val="28"/>
          <w14:textFill>
            <w14:solidFill>
              <w14:schemeClr w14:val="tx1"/>
            </w14:solidFill>
          </w14:textFill>
        </w:rPr>
        <w:t>精甲</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咯菌腈</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包衣</w:t>
      </w:r>
      <w:r>
        <w:rPr>
          <w:rFonts w:hint="eastAsia" w:ascii="仿宋_GB2312" w:hAnsi="Times New Roman" w:eastAsia="仿宋_GB2312"/>
          <w:color w:val="000000" w:themeColor="text1"/>
          <w:sz w:val="28"/>
          <w:szCs w:val="28"/>
          <w14:textFill>
            <w14:solidFill>
              <w14:schemeClr w14:val="tx1"/>
            </w14:solidFill>
          </w14:textFill>
        </w:rPr>
        <w:t>水稻种子后</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种子</w:t>
      </w:r>
      <w:r>
        <w:rPr>
          <w:rFonts w:ascii="仿宋_GB2312" w:hAnsi="Times New Roman" w:eastAsia="仿宋_GB2312"/>
          <w:color w:val="000000" w:themeColor="text1"/>
          <w:sz w:val="28"/>
          <w:szCs w:val="28"/>
          <w14:textFill>
            <w14:solidFill>
              <w14:schemeClr w14:val="tx1"/>
            </w14:solidFill>
          </w14:textFill>
        </w:rPr>
        <w:t>水分吸收充足，发芽</w:t>
      </w:r>
      <w:r>
        <w:rPr>
          <w:rFonts w:hint="eastAsia" w:ascii="仿宋_GB2312" w:hAnsi="Times New Roman" w:eastAsia="仿宋_GB2312"/>
          <w:color w:val="000000" w:themeColor="text1"/>
          <w:sz w:val="28"/>
          <w:szCs w:val="28"/>
          <w14:textFill>
            <w14:solidFill>
              <w14:schemeClr w14:val="tx1"/>
            </w14:solidFill>
          </w14:textFill>
        </w:rPr>
        <w:t>出苗</w:t>
      </w:r>
      <w:r>
        <w:rPr>
          <w:rFonts w:ascii="仿宋_GB2312" w:hAnsi="Times New Roman" w:eastAsia="仿宋_GB2312"/>
          <w:color w:val="000000" w:themeColor="text1"/>
          <w:sz w:val="28"/>
          <w:szCs w:val="28"/>
          <w14:textFill>
            <w14:solidFill>
              <w14:schemeClr w14:val="tx1"/>
            </w14:solidFill>
          </w14:textFill>
        </w:rPr>
        <w:t>整齐一致</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苗齐、苗壮，秧苗素质好，抗逆</w:t>
      </w:r>
      <w:r>
        <w:rPr>
          <w:rFonts w:hint="eastAsia" w:ascii="仿宋_GB2312" w:hAnsi="Times New Roman" w:eastAsia="仿宋_GB2312"/>
          <w:color w:val="000000" w:themeColor="text1"/>
          <w:sz w:val="28"/>
          <w:szCs w:val="28"/>
          <w14:textFill>
            <w14:solidFill>
              <w14:schemeClr w14:val="tx1"/>
            </w14:solidFill>
          </w14:textFill>
        </w:rPr>
        <w:t>性好，对水稻恶苗病防效大于9</w:t>
      </w:r>
      <w:r>
        <w:rPr>
          <w:rFonts w:ascii="仿宋_GB2312" w:hAnsi="Times New Roman" w:eastAsia="仿宋_GB2312"/>
          <w:color w:val="000000" w:themeColor="text1"/>
          <w:sz w:val="28"/>
          <w:szCs w:val="28"/>
          <w14:textFill>
            <w14:solidFill>
              <w14:schemeClr w14:val="tx1"/>
            </w14:solidFill>
          </w14:textFill>
        </w:rPr>
        <w:t>8</w:t>
      </w:r>
      <w:r>
        <w:rPr>
          <w:rFonts w:hint="eastAsia" w:ascii="仿宋_GB2312" w:hAnsi="Times New Roman" w:eastAsia="仿宋_GB2312"/>
          <w:color w:val="000000" w:themeColor="text1"/>
          <w:sz w:val="28"/>
          <w:szCs w:val="28"/>
          <w14:textFill>
            <w14:solidFill>
              <w14:schemeClr w14:val="tx1"/>
            </w14:solidFill>
          </w14:textFill>
        </w:rPr>
        <w:t>%，并可兼治水稻</w:t>
      </w:r>
      <w:r>
        <w:rPr>
          <w:rFonts w:ascii="仿宋_GB2312" w:hAnsi="Times New Roman" w:eastAsia="仿宋_GB2312"/>
          <w:color w:val="000000" w:themeColor="text1"/>
          <w:sz w:val="28"/>
          <w:szCs w:val="28"/>
          <w14:textFill>
            <w14:solidFill>
              <w14:schemeClr w14:val="tx1"/>
            </w14:solidFill>
          </w14:textFill>
        </w:rPr>
        <w:t>立枯病、绵腐病</w:t>
      </w:r>
      <w:r>
        <w:rPr>
          <w:rFonts w:hint="eastAsia" w:ascii="仿宋_GB2312" w:hAnsi="Times New Roman" w:eastAsia="仿宋_GB2312"/>
          <w:color w:val="000000" w:themeColor="text1"/>
          <w:sz w:val="28"/>
          <w:szCs w:val="28"/>
          <w14:textFill>
            <w14:solidFill>
              <w14:schemeClr w14:val="tx1"/>
            </w14:solidFill>
          </w14:textFill>
        </w:rPr>
        <w:t>等秧苗期病害。同时，采用该技术处理水稻种子，可以有效治理目前生产中水稻恶苗病等主要病害对氰烯菌酯、咪鲜胺的抗性问题，降低了田间</w:t>
      </w:r>
      <w:r>
        <w:rPr>
          <w:rFonts w:ascii="仿宋_GB2312" w:hAnsi="Times New Roman" w:eastAsia="仿宋_GB2312"/>
          <w:color w:val="000000" w:themeColor="text1"/>
          <w:sz w:val="28"/>
          <w:szCs w:val="28"/>
          <w14:textFill>
            <w14:solidFill>
              <w14:schemeClr w14:val="tx1"/>
            </w14:solidFill>
          </w14:textFill>
        </w:rPr>
        <w:t>病害发生风险</w:t>
      </w:r>
      <w:r>
        <w:rPr>
          <w:rFonts w:hint="eastAsia" w:ascii="仿宋_GB2312" w:hAnsi="Times New Roman" w:eastAsia="仿宋_GB2312"/>
          <w:color w:val="000000" w:themeColor="text1"/>
          <w:sz w:val="28"/>
          <w:szCs w:val="28"/>
          <w14:textFill>
            <w14:solidFill>
              <w14:schemeClr w14:val="tx1"/>
            </w14:solidFill>
          </w14:textFill>
        </w:rPr>
        <w:t>和产量损失，推动了我国水稻产业的绿色发展。</w:t>
      </w:r>
    </w:p>
    <w:p w14:paraId="2BE07ED2">
      <w:pPr>
        <w:spacing w:line="560" w:lineRule="exact"/>
        <w:ind w:firstLine="548" w:firstLineChars="196"/>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3、</w:t>
      </w:r>
      <w:r>
        <w:rPr>
          <w:rFonts w:hint="eastAsia" w:ascii="仿宋_GB2312" w:hAnsi="Times New Roman" w:eastAsia="仿宋_GB2312"/>
          <w:b/>
          <w:bCs/>
          <w:color w:val="000000" w:themeColor="text1"/>
          <w:sz w:val="28"/>
          <w:szCs w:val="28"/>
          <w14:textFill>
            <w14:solidFill>
              <w14:schemeClr w14:val="tx1"/>
            </w14:solidFill>
          </w14:textFill>
        </w:rPr>
        <w:t>阻断种传病原菌的传播链以防止病害的发生发展和田间灾变。</w:t>
      </w:r>
      <w:r>
        <w:rPr>
          <w:rFonts w:hint="eastAsia" w:ascii="仿宋_GB2312" w:hAnsi="Times New Roman" w:eastAsia="仿宋_GB2312"/>
          <w:color w:val="000000" w:themeColor="text1"/>
          <w:sz w:val="28"/>
          <w:szCs w:val="28"/>
          <w14:textFill>
            <w14:solidFill>
              <w14:schemeClr w14:val="tx1"/>
            </w14:solidFill>
          </w14:textFill>
        </w:rPr>
        <w:t>因干籽育秧技术将包衣后的种子直接育成秧苗，种传病原菌不易侵染扩散和交叉感染，有效控制了水稻恶苗病的暴发流行。</w:t>
      </w:r>
    </w:p>
    <w:p w14:paraId="5E6E06E5">
      <w:pPr>
        <w:snapToGrid w:val="0"/>
        <w:spacing w:line="600" w:lineRule="exact"/>
        <w:ind w:firstLine="643" w:firstLineChars="200"/>
        <w:rPr>
          <w:rFonts w:ascii="Times New Roman" w:hAnsi="Times New Roman" w:eastAsia="楷体_GB2312"/>
          <w:b/>
          <w:color w:val="000000" w:themeColor="text1"/>
          <w:sz w:val="28"/>
          <w:szCs w:val="28"/>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（四）技术获奖情况</w:t>
      </w:r>
    </w:p>
    <w:p w14:paraId="57FB83EF">
      <w:pPr>
        <w:snapToGrid w:val="0"/>
        <w:spacing w:line="600" w:lineRule="exact"/>
        <w:ind w:firstLine="560" w:firstLineChars="200"/>
        <w:rPr>
          <w:rFonts w:ascii="仿宋_GB2312" w:hAnsi="Times New Roman" w:eastAsia="仿宋_GB2312"/>
          <w:color w:val="000000" w:themeColor="text1"/>
          <w:sz w:val="28"/>
          <w:szCs w:val="28"/>
          <w14:textFill>
            <w14:solidFill>
              <w14:schemeClr w14:val="tx1"/>
            </w14:solidFill>
          </w14:textFill>
        </w:rPr>
      </w:pPr>
      <w:bookmarkStart w:id="0" w:name="OLE_LINK3"/>
      <w:r>
        <w:rPr>
          <w:rFonts w:hint="eastAsia" w:ascii="仿宋_GB2312" w:hAnsi="Times New Roman" w:eastAsia="仿宋_GB2312"/>
          <w:color w:val="000000" w:themeColor="text1"/>
          <w:sz w:val="28"/>
          <w:szCs w:val="28"/>
          <w14:textFill>
            <w14:solidFill>
              <w14:schemeClr w14:val="tx1"/>
            </w14:solidFill>
          </w14:textFill>
        </w:rPr>
        <w:t>该技术入选2</w:t>
      </w:r>
      <w:r>
        <w:rPr>
          <w:rFonts w:ascii="仿宋_GB2312" w:hAnsi="Times New Roman" w:eastAsia="仿宋_GB2312"/>
          <w:color w:val="000000" w:themeColor="text1"/>
          <w:sz w:val="28"/>
          <w:szCs w:val="28"/>
          <w14:textFill>
            <w14:solidFill>
              <w14:schemeClr w14:val="tx1"/>
            </w14:solidFill>
          </w14:textFill>
        </w:rPr>
        <w:t>021</w:t>
      </w:r>
      <w:r>
        <w:rPr>
          <w:rFonts w:hint="eastAsia" w:ascii="仿宋_GB2312" w:hAnsi="Times New Roman" w:eastAsia="仿宋_GB2312"/>
          <w:color w:val="000000" w:themeColor="text1"/>
          <w:sz w:val="28"/>
          <w:szCs w:val="28"/>
          <w14:textFill>
            <w14:solidFill>
              <w14:schemeClr w14:val="tx1"/>
            </w14:solidFill>
          </w14:textFill>
        </w:rPr>
        <w:t>-2024年黑龙江省植保主推技术；关键核心技术荣获2</w:t>
      </w:r>
      <w:r>
        <w:rPr>
          <w:rFonts w:ascii="仿宋_GB2312" w:hAnsi="Times New Roman" w:eastAsia="仿宋_GB2312"/>
          <w:color w:val="000000" w:themeColor="text1"/>
          <w:sz w:val="28"/>
          <w:szCs w:val="28"/>
          <w14:textFill>
            <w14:solidFill>
              <w14:schemeClr w14:val="tx1"/>
            </w14:solidFill>
          </w14:textFill>
        </w:rPr>
        <w:t>022</w:t>
      </w:r>
      <w:r>
        <w:rPr>
          <w:rFonts w:hint="eastAsia" w:ascii="仿宋_GB2312" w:hAnsi="Times New Roman" w:eastAsia="仿宋_GB2312"/>
          <w:color w:val="000000" w:themeColor="text1"/>
          <w:sz w:val="28"/>
          <w:szCs w:val="28"/>
          <w14:textFill>
            <w14:solidFill>
              <w14:schemeClr w14:val="tx1"/>
            </w14:solidFill>
          </w14:textFill>
        </w:rPr>
        <w:t>年度中国植物保护学会科学技术一等奖；该项技术中的核心产品之一“62.5g/L</w:t>
      </w:r>
      <w:r>
        <w:rPr>
          <w:rFonts w:ascii="仿宋_GB2312" w:hAnsi="Times New Roman" w:eastAsia="仿宋_GB2312"/>
          <w:color w:val="000000" w:themeColor="text1"/>
          <w:sz w:val="28"/>
          <w:szCs w:val="28"/>
          <w14:textFill>
            <w14:solidFill>
              <w14:schemeClr w14:val="tx1"/>
            </w14:solidFill>
          </w14:textFill>
        </w:rPr>
        <w:t>精甲</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咯菌腈</w:t>
      </w:r>
      <w:r>
        <w:rPr>
          <w:rFonts w:hint="eastAsia" w:ascii="仿宋_GB2312" w:hAnsi="Times New Roman" w:eastAsia="仿宋_GB2312"/>
          <w:color w:val="000000" w:themeColor="text1"/>
          <w:sz w:val="28"/>
          <w:szCs w:val="28"/>
          <w14:textFill>
            <w14:solidFill>
              <w14:schemeClr w14:val="tx1"/>
            </w14:solidFill>
          </w14:textFill>
        </w:rPr>
        <w:t>”2</w:t>
      </w:r>
      <w:r>
        <w:rPr>
          <w:rFonts w:ascii="仿宋_GB2312" w:hAnsi="Times New Roman" w:eastAsia="仿宋_GB2312"/>
          <w:color w:val="000000" w:themeColor="text1"/>
          <w:sz w:val="28"/>
          <w:szCs w:val="28"/>
          <w14:textFill>
            <w14:solidFill>
              <w14:schemeClr w14:val="tx1"/>
            </w14:solidFill>
          </w14:textFill>
        </w:rPr>
        <w:t>020</w:t>
      </w:r>
      <w:r>
        <w:rPr>
          <w:rFonts w:hint="eastAsia" w:ascii="仿宋_GB2312" w:hAnsi="Times New Roman" w:eastAsia="仿宋_GB2312"/>
          <w:color w:val="000000" w:themeColor="text1"/>
          <w:sz w:val="28"/>
          <w:szCs w:val="28"/>
          <w14:textFill>
            <w14:solidFill>
              <w14:schemeClr w14:val="tx1"/>
            </w14:solidFill>
          </w14:textFill>
        </w:rPr>
        <w:t>年获得中国农药工业协会颁发的年度“减施增效产品贡献奖”。</w:t>
      </w:r>
    </w:p>
    <w:p w14:paraId="3E0B5968">
      <w:pPr>
        <w:snapToGrid w:val="0"/>
        <w:spacing w:line="60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“一种防治水稻主要病害的杀菌剂组合物”，“马来酸二乙酯在植物病害防治中作为杀菌增效剂的应用”分别于</w:t>
      </w:r>
      <w:r>
        <w:rPr>
          <w:rFonts w:ascii="仿宋_GB2312" w:hAnsi="Times New Roman" w:eastAsia="仿宋_GB2312"/>
          <w:color w:val="000000" w:themeColor="text1"/>
          <w:sz w:val="28"/>
          <w:szCs w:val="28"/>
          <w14:textFill>
            <w14:solidFill>
              <w14:schemeClr w14:val="tx1"/>
            </w14:solidFill>
          </w14:textFill>
        </w:rPr>
        <w:t>2013</w:t>
      </w:r>
      <w:r>
        <w:rPr>
          <w:rFonts w:hint="eastAsia" w:ascii="仿宋_GB2312" w:hAnsi="Times New Roman" w:eastAsia="仿宋_GB2312"/>
          <w:color w:val="000000" w:themeColor="text1"/>
          <w:sz w:val="28"/>
          <w:szCs w:val="28"/>
          <w14:textFill>
            <w14:solidFill>
              <w14:schemeClr w14:val="tx1"/>
            </w14:solidFill>
          </w14:textFill>
        </w:rPr>
        <w:t>年1</w:t>
      </w:r>
      <w:r>
        <w:rPr>
          <w:rFonts w:ascii="仿宋_GB2312" w:hAnsi="Times New Roman" w:eastAsia="仿宋_GB2312"/>
          <w:color w:val="000000" w:themeColor="text1"/>
          <w:sz w:val="28"/>
          <w:szCs w:val="28"/>
          <w14:textFill>
            <w14:solidFill>
              <w14:schemeClr w14:val="tx1"/>
            </w14:solidFill>
          </w14:textFill>
        </w:rPr>
        <w:t>2</w:t>
      </w:r>
      <w:r>
        <w:rPr>
          <w:rFonts w:hint="eastAsia" w:ascii="仿宋_GB2312" w:hAnsi="Times New Roman" w:eastAsia="仿宋_GB2312"/>
          <w:color w:val="000000" w:themeColor="text1"/>
          <w:sz w:val="28"/>
          <w:szCs w:val="28"/>
          <w14:textFill>
            <w14:solidFill>
              <w14:schemeClr w14:val="tx1"/>
            </w14:solidFill>
          </w14:textFill>
        </w:rPr>
        <w:t>月25日和2</w:t>
      </w:r>
      <w:r>
        <w:rPr>
          <w:rFonts w:ascii="仿宋_GB2312" w:hAnsi="Times New Roman" w:eastAsia="仿宋_GB2312"/>
          <w:color w:val="000000" w:themeColor="text1"/>
          <w:sz w:val="28"/>
          <w:szCs w:val="28"/>
          <w14:textFill>
            <w14:solidFill>
              <w14:schemeClr w14:val="tx1"/>
            </w14:solidFill>
          </w14:textFill>
        </w:rPr>
        <w:t>022</w:t>
      </w:r>
      <w:r>
        <w:rPr>
          <w:rFonts w:hint="eastAsia" w:ascii="仿宋_GB2312" w:hAnsi="Times New Roman" w:eastAsia="仿宋_GB2312"/>
          <w:color w:val="000000" w:themeColor="text1"/>
          <w:sz w:val="28"/>
          <w:szCs w:val="28"/>
          <w14:textFill>
            <w14:solidFill>
              <w14:schemeClr w14:val="tx1"/>
            </w14:solidFill>
          </w14:textFill>
        </w:rPr>
        <w:t>年7月1日获得中国发明专利；单宁酸金属络合物在水稻种子处理中的应用（CN 202411406258.1）已申请中国发明专利。</w:t>
      </w:r>
    </w:p>
    <w:bookmarkEnd w:id="0"/>
    <w:p w14:paraId="5471B8EE">
      <w:pPr>
        <w:snapToGrid w:val="0"/>
        <w:spacing w:before="156" w:beforeLines="50" w:line="600" w:lineRule="exact"/>
        <w:ind w:firstLine="643" w:firstLineChars="200"/>
        <w:rPr>
          <w:rFonts w:ascii="Times New Roman" w:hAnsi="Times New Roman" w:eastAsia="黑体"/>
          <w:b/>
          <w:bCs/>
          <w:color w:val="000000" w:themeColor="text1"/>
          <w:sz w:val="28"/>
          <w:szCs w:val="28"/>
          <w14:textFill>
            <w14:solidFill>
              <w14:schemeClr w14:val="tx1"/>
            </w14:solidFill>
          </w14:textFill>
        </w:rPr>
      </w:pPr>
      <w:r>
        <w:rPr>
          <w:rFonts w:hint="eastAsia" w:ascii="Times New Roman" w:hAnsi="Times New Roman" w:eastAsia="黑体"/>
          <w:b/>
          <w:bCs/>
          <w:color w:val="000000" w:themeColor="text1"/>
          <w:sz w:val="32"/>
          <w:szCs w:val="32"/>
          <w14:textFill>
            <w14:solidFill>
              <w14:schemeClr w14:val="tx1"/>
            </w14:solidFill>
          </w14:textFill>
        </w:rPr>
        <w:t>二、技术要点</w:t>
      </w:r>
    </w:p>
    <w:p w14:paraId="29D06D9C">
      <w:pPr>
        <w:snapToGrid w:val="0"/>
        <w:spacing w:line="600" w:lineRule="exact"/>
        <w:ind w:firstLine="643" w:firstLineChars="200"/>
        <w:rPr>
          <w:rFonts w:hint="eastAsia" w:ascii="楷体" w:hAnsi="楷体" w:eastAsia="楷体"/>
          <w:b/>
          <w:bCs/>
          <w:color w:val="000000" w:themeColor="text1"/>
          <w:sz w:val="32"/>
          <w:szCs w:val="32"/>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（一）核心技术</w:t>
      </w:r>
    </w:p>
    <w:p w14:paraId="3C09C9C5">
      <w:pPr>
        <w:snapToGrid w:val="0"/>
        <w:spacing w:line="600" w:lineRule="exact"/>
        <w:ind w:firstLine="562"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b/>
          <w:color w:val="000000" w:themeColor="text1"/>
          <w:sz w:val="28"/>
          <w:szCs w:val="28"/>
          <w14:textFill>
            <w14:solidFill>
              <w14:schemeClr w14:val="tx1"/>
            </w14:solidFill>
          </w14:textFill>
        </w:rPr>
        <w:t>水稻种子</w:t>
      </w:r>
      <w:r>
        <w:rPr>
          <w:rFonts w:ascii="仿宋_GB2312" w:hAnsi="Times New Roman" w:eastAsia="仿宋_GB2312"/>
          <w:b/>
          <w:color w:val="000000" w:themeColor="text1"/>
          <w:sz w:val="28"/>
          <w:szCs w:val="28"/>
          <w14:textFill>
            <w14:solidFill>
              <w14:schemeClr w14:val="tx1"/>
            </w14:solidFill>
          </w14:textFill>
        </w:rPr>
        <w:t>包衣处理</w:t>
      </w:r>
      <w:r>
        <w:rPr>
          <w:rFonts w:ascii="仿宋_GB2312" w:hAnsi="Times New Roman" w:eastAsia="仿宋_GB2312"/>
          <w:color w:val="000000" w:themeColor="text1"/>
          <w:sz w:val="28"/>
          <w:szCs w:val="28"/>
          <w14:textFill>
            <w14:solidFill>
              <w14:schemeClr w14:val="tx1"/>
            </w14:solidFill>
          </w14:textFill>
        </w:rPr>
        <w:t>：使用干籽育秧专用种衣剂</w:t>
      </w:r>
      <w:r>
        <w:rPr>
          <w:rFonts w:hint="eastAsia" w:ascii="仿宋_GB2312" w:hAnsi="Times New Roman" w:eastAsia="仿宋_GB2312"/>
          <w:color w:val="000000" w:themeColor="text1"/>
          <w:sz w:val="28"/>
          <w:szCs w:val="28"/>
          <w14:textFill>
            <w14:solidFill>
              <w14:schemeClr w14:val="tx1"/>
            </w14:solidFill>
          </w14:textFill>
        </w:rPr>
        <w:t>2</w:t>
      </w:r>
      <w:r>
        <w:rPr>
          <w:rFonts w:ascii="仿宋_GB2312" w:hAnsi="Times New Roman" w:eastAsia="仿宋_GB2312"/>
          <w:color w:val="000000" w:themeColor="text1"/>
          <w:sz w:val="28"/>
          <w:szCs w:val="28"/>
          <w14:textFill>
            <w14:solidFill>
              <w14:schemeClr w14:val="tx1"/>
            </w14:solidFill>
          </w14:textFill>
        </w:rPr>
        <w:t>00克/升</w:t>
      </w:r>
      <w:r>
        <w:rPr>
          <w:rFonts w:hint="eastAsia" w:ascii="仿宋_GB2312" w:hAnsi="Times New Roman" w:eastAsia="仿宋_GB2312"/>
          <w:color w:val="000000" w:themeColor="text1"/>
          <w:sz w:val="28"/>
          <w:szCs w:val="28"/>
          <w14:textFill>
            <w14:solidFill>
              <w14:schemeClr w14:val="tx1"/>
            </w14:solidFill>
          </w14:textFill>
        </w:rPr>
        <w:t>氟唑菌酰羟胺（用量6</w:t>
      </w:r>
      <w:r>
        <w:rPr>
          <w:rFonts w:ascii="仿宋_GB2312" w:hAnsi="Times New Roman" w:eastAsia="仿宋_GB2312"/>
          <w:color w:val="000000" w:themeColor="text1"/>
          <w:sz w:val="28"/>
          <w:szCs w:val="28"/>
          <w14:textFill>
            <w14:solidFill>
              <w14:schemeClr w14:val="tx1"/>
            </w14:solidFill>
          </w14:textFill>
        </w:rPr>
        <w:t>0</w:t>
      </w:r>
      <w:r>
        <w:rPr>
          <w:rFonts w:hint="eastAsia" w:ascii="仿宋_GB2312" w:hAnsi="Times New Roman" w:eastAsia="仿宋_GB2312"/>
          <w:color w:val="000000" w:themeColor="text1"/>
          <w:sz w:val="28"/>
          <w:szCs w:val="28"/>
          <w14:textFill>
            <w14:solidFill>
              <w14:schemeClr w14:val="tx1"/>
            </w14:solidFill>
          </w14:textFill>
        </w:rPr>
        <w:t>毫升/</w:t>
      </w:r>
      <w:r>
        <w:rPr>
          <w:rFonts w:ascii="仿宋_GB2312" w:hAnsi="Times New Roman" w:eastAsia="仿宋_GB2312"/>
          <w:color w:val="000000" w:themeColor="text1"/>
          <w:sz w:val="28"/>
          <w:szCs w:val="28"/>
          <w14:textFill>
            <w14:solidFill>
              <w14:schemeClr w14:val="tx1"/>
            </w14:solidFill>
          </w14:textFill>
        </w:rPr>
        <w:t>100</w:t>
      </w:r>
      <w:r>
        <w:rPr>
          <w:rFonts w:hint="eastAsia" w:ascii="仿宋_GB2312" w:hAnsi="Times New Roman" w:eastAsia="仿宋_GB2312"/>
          <w:color w:val="000000" w:themeColor="text1"/>
          <w:sz w:val="28"/>
          <w:szCs w:val="28"/>
          <w14:textFill>
            <w14:solidFill>
              <w14:schemeClr w14:val="tx1"/>
            </w14:solidFill>
          </w14:textFill>
        </w:rPr>
        <w:t>千克种子）、29.5%</w:t>
      </w:r>
      <w:r>
        <w:rPr>
          <w:rFonts w:ascii="仿宋_GB2312" w:hAnsi="Times New Roman" w:eastAsia="仿宋_GB2312"/>
          <w:color w:val="000000" w:themeColor="text1"/>
          <w:sz w:val="28"/>
          <w:szCs w:val="28"/>
          <w14:textFill>
            <w14:solidFill>
              <w14:schemeClr w14:val="tx1"/>
            </w14:solidFill>
          </w14:textFill>
        </w:rPr>
        <w:t>丙硫</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咯菌腈</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噻虫胺</w:t>
      </w:r>
      <w:r>
        <w:rPr>
          <w:rFonts w:hint="eastAsia" w:ascii="仿宋_GB2312" w:hAnsi="Times New Roman" w:eastAsia="仿宋_GB2312"/>
          <w:color w:val="000000" w:themeColor="text1"/>
          <w:sz w:val="28"/>
          <w:szCs w:val="28"/>
          <w14:textFill>
            <w14:solidFill>
              <w14:schemeClr w14:val="tx1"/>
            </w14:solidFill>
          </w14:textFill>
        </w:rPr>
        <w:t>（用量500毫升/</w:t>
      </w:r>
      <w:r>
        <w:rPr>
          <w:rFonts w:ascii="仿宋_GB2312" w:hAnsi="Times New Roman" w:eastAsia="仿宋_GB2312"/>
          <w:color w:val="000000" w:themeColor="text1"/>
          <w:sz w:val="28"/>
          <w:szCs w:val="28"/>
          <w14:textFill>
            <w14:solidFill>
              <w14:schemeClr w14:val="tx1"/>
            </w14:solidFill>
          </w14:textFill>
        </w:rPr>
        <w:t>100</w:t>
      </w:r>
      <w:r>
        <w:rPr>
          <w:rFonts w:hint="eastAsia" w:ascii="仿宋_GB2312" w:hAnsi="Times New Roman" w:eastAsia="仿宋_GB2312"/>
          <w:color w:val="000000" w:themeColor="text1"/>
          <w:sz w:val="28"/>
          <w:szCs w:val="28"/>
          <w14:textFill>
            <w14:solidFill>
              <w14:schemeClr w14:val="tx1"/>
            </w14:solidFill>
          </w14:textFill>
        </w:rPr>
        <w:t>千克种子）</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62.5g/L</w:t>
      </w:r>
      <w:r>
        <w:rPr>
          <w:rFonts w:ascii="仿宋_GB2312" w:hAnsi="Times New Roman" w:eastAsia="仿宋_GB2312"/>
          <w:color w:val="000000" w:themeColor="text1"/>
          <w:sz w:val="28"/>
          <w:szCs w:val="28"/>
          <w14:textFill>
            <w14:solidFill>
              <w14:schemeClr w14:val="tx1"/>
            </w14:solidFill>
          </w14:textFill>
        </w:rPr>
        <w:t>精甲</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咯菌腈（</w:t>
      </w:r>
      <w:r>
        <w:rPr>
          <w:rFonts w:hint="eastAsia" w:ascii="仿宋_GB2312" w:hAnsi="Times New Roman" w:eastAsia="仿宋_GB2312"/>
          <w:color w:val="000000" w:themeColor="text1"/>
          <w:sz w:val="28"/>
          <w:szCs w:val="28"/>
          <w14:textFill>
            <w14:solidFill>
              <w14:schemeClr w14:val="tx1"/>
            </w14:solidFill>
          </w14:textFill>
        </w:rPr>
        <w:t>用量</w:t>
      </w:r>
      <w:r>
        <w:rPr>
          <w:rFonts w:ascii="仿宋_GB2312" w:hAnsi="Times New Roman" w:eastAsia="仿宋_GB2312"/>
          <w:color w:val="000000" w:themeColor="text1"/>
          <w:sz w:val="28"/>
          <w:szCs w:val="28"/>
          <w14:textFill>
            <w14:solidFill>
              <w14:schemeClr w14:val="tx1"/>
            </w14:solidFill>
          </w14:textFill>
        </w:rPr>
        <w:t>300</w:t>
      </w:r>
      <w:r>
        <w:rPr>
          <w:rFonts w:hint="eastAsia" w:ascii="仿宋_GB2312" w:hAnsi="Times New Roman" w:eastAsia="仿宋_GB2312"/>
          <w:color w:val="000000" w:themeColor="text1"/>
          <w:sz w:val="28"/>
          <w:szCs w:val="28"/>
          <w14:textFill>
            <w14:solidFill>
              <w14:schemeClr w14:val="tx1"/>
            </w14:solidFill>
          </w14:textFill>
        </w:rPr>
        <w:t>毫升/</w:t>
      </w:r>
      <w:r>
        <w:rPr>
          <w:rFonts w:ascii="仿宋_GB2312" w:hAnsi="Times New Roman" w:eastAsia="仿宋_GB2312"/>
          <w:color w:val="000000" w:themeColor="text1"/>
          <w:sz w:val="28"/>
          <w:szCs w:val="28"/>
          <w14:textFill>
            <w14:solidFill>
              <w14:schemeClr w14:val="tx1"/>
            </w14:solidFill>
          </w14:textFill>
        </w:rPr>
        <w:t>100</w:t>
      </w:r>
      <w:r>
        <w:rPr>
          <w:rFonts w:hint="eastAsia" w:ascii="仿宋_GB2312" w:hAnsi="Times New Roman" w:eastAsia="仿宋_GB2312"/>
          <w:color w:val="000000" w:themeColor="text1"/>
          <w:sz w:val="28"/>
          <w:szCs w:val="28"/>
          <w14:textFill>
            <w14:solidFill>
              <w14:schemeClr w14:val="tx1"/>
            </w14:solidFill>
          </w14:textFill>
        </w:rPr>
        <w:t>千克种子</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、11%</w:t>
      </w:r>
      <w:r>
        <w:rPr>
          <w:rFonts w:ascii="仿宋_GB2312" w:hAnsi="Times New Roman" w:eastAsia="仿宋_GB2312"/>
          <w:color w:val="000000" w:themeColor="text1"/>
          <w:sz w:val="28"/>
          <w:szCs w:val="28"/>
          <w14:textFill>
            <w14:solidFill>
              <w14:schemeClr w14:val="tx1"/>
            </w14:solidFill>
          </w14:textFill>
        </w:rPr>
        <w:t>氟环</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咯</w:t>
      </w:r>
      <w:r>
        <w:rPr>
          <w:rFonts w:hint="eastAsia" w:ascii="宋体" w:hAnsi="宋体" w:eastAsia="宋体"/>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精甲（</w:t>
      </w:r>
      <w:r>
        <w:rPr>
          <w:rFonts w:hint="eastAsia" w:ascii="仿宋_GB2312" w:hAnsi="Times New Roman" w:eastAsia="仿宋_GB2312"/>
          <w:color w:val="000000" w:themeColor="text1"/>
          <w:sz w:val="28"/>
          <w:szCs w:val="28"/>
          <w14:textFill>
            <w14:solidFill>
              <w14:schemeClr w14:val="tx1"/>
            </w14:solidFill>
          </w14:textFill>
        </w:rPr>
        <w:t>用量</w:t>
      </w:r>
      <w:r>
        <w:rPr>
          <w:rFonts w:ascii="仿宋_GB2312" w:hAnsi="Times New Roman" w:eastAsia="仿宋_GB2312"/>
          <w:color w:val="000000" w:themeColor="text1"/>
          <w:sz w:val="28"/>
          <w:szCs w:val="28"/>
          <w14:textFill>
            <w14:solidFill>
              <w14:schemeClr w14:val="tx1"/>
            </w14:solidFill>
          </w14:textFill>
        </w:rPr>
        <w:t>300</w:t>
      </w:r>
      <w:r>
        <w:rPr>
          <w:rFonts w:hint="eastAsia" w:ascii="仿宋_GB2312" w:hAnsi="Times New Roman" w:eastAsia="仿宋_GB2312"/>
          <w:color w:val="000000" w:themeColor="text1"/>
          <w:sz w:val="28"/>
          <w:szCs w:val="28"/>
          <w14:textFill>
            <w14:solidFill>
              <w14:schemeClr w14:val="tx1"/>
            </w14:solidFill>
          </w14:textFill>
        </w:rPr>
        <w:t>毫升/</w:t>
      </w:r>
      <w:r>
        <w:rPr>
          <w:rFonts w:ascii="仿宋_GB2312" w:hAnsi="Times New Roman" w:eastAsia="仿宋_GB2312"/>
          <w:color w:val="000000" w:themeColor="text1"/>
          <w:sz w:val="28"/>
          <w:szCs w:val="28"/>
          <w14:textFill>
            <w14:solidFill>
              <w14:schemeClr w14:val="tx1"/>
            </w14:solidFill>
          </w14:textFill>
        </w:rPr>
        <w:t>100</w:t>
      </w:r>
      <w:r>
        <w:rPr>
          <w:rFonts w:hint="eastAsia" w:ascii="仿宋_GB2312" w:hAnsi="Times New Roman" w:eastAsia="仿宋_GB2312"/>
          <w:color w:val="000000" w:themeColor="text1"/>
          <w:sz w:val="28"/>
          <w:szCs w:val="28"/>
          <w14:textFill>
            <w14:solidFill>
              <w14:schemeClr w14:val="tx1"/>
            </w14:solidFill>
          </w14:textFill>
        </w:rPr>
        <w:t>千克种子</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进行水稻种子的</w:t>
      </w:r>
      <w:r>
        <w:rPr>
          <w:rFonts w:ascii="仿宋_GB2312" w:hAnsi="Times New Roman" w:eastAsia="仿宋_GB2312"/>
          <w:color w:val="000000" w:themeColor="text1"/>
          <w:sz w:val="28"/>
          <w:szCs w:val="28"/>
          <w14:textFill>
            <w14:solidFill>
              <w14:schemeClr w14:val="tx1"/>
            </w14:solidFill>
          </w14:textFill>
        </w:rPr>
        <w:t>包衣</w:t>
      </w:r>
      <w:r>
        <w:rPr>
          <w:rFonts w:hint="eastAsia" w:ascii="仿宋_GB2312" w:hAnsi="Times New Roman" w:eastAsia="仿宋_GB2312"/>
          <w:color w:val="000000" w:themeColor="text1"/>
          <w:sz w:val="28"/>
          <w:szCs w:val="28"/>
          <w14:textFill>
            <w14:solidFill>
              <w14:schemeClr w14:val="tx1"/>
            </w14:solidFill>
          </w14:textFill>
        </w:rPr>
        <w:t>处理</w:t>
      </w:r>
      <w:r>
        <w:rPr>
          <w:rFonts w:ascii="仿宋_GB2312" w:hAnsi="Times New Roman" w:eastAsia="仿宋_GB2312"/>
          <w:color w:val="000000" w:themeColor="text1"/>
          <w:sz w:val="28"/>
          <w:szCs w:val="28"/>
          <w14:textFill>
            <w14:solidFill>
              <w14:schemeClr w14:val="tx1"/>
            </w14:solidFill>
          </w14:textFill>
        </w:rPr>
        <w:t>，包衣后的种子阴干1天</w:t>
      </w:r>
      <w:r>
        <w:rPr>
          <w:rFonts w:ascii="Times New Roman" w:hAnsi="Times New Roman" w:eastAsia="仿宋_GB2312" w:cs="Times New Roman"/>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2天，药膜固化后直接用于播种</w:t>
      </w:r>
      <w:r>
        <w:rPr>
          <w:rFonts w:hint="eastAsia" w:ascii="仿宋_GB2312" w:hAnsi="Times New Roman" w:eastAsia="仿宋_GB2312"/>
          <w:color w:val="000000" w:themeColor="text1"/>
          <w:sz w:val="28"/>
          <w:szCs w:val="28"/>
          <w14:textFill>
            <w14:solidFill>
              <w14:schemeClr w14:val="tx1"/>
            </w14:solidFill>
          </w14:textFill>
        </w:rPr>
        <w:t>。</w:t>
      </w:r>
    </w:p>
    <w:p w14:paraId="3BEDF76C">
      <w:pPr>
        <w:jc w:val="center"/>
        <w:rPr>
          <w:rFonts w:asciiTheme="minorEastAsia" w:hAnsiTheme="minorEastAsia"/>
          <w:b/>
          <w:sz w:val="24"/>
          <w:szCs w:val="24"/>
        </w:rPr>
      </w:pPr>
      <w:r>
        <w:rPr>
          <w:rFonts w:ascii="仿宋_GB2312" w:hAnsi="Times New Roman" w:eastAsia="仿宋_GB2312"/>
          <w:color w:val="000000" w:themeColor="text1"/>
          <w:sz w:val="28"/>
          <w:szCs w:val="28"/>
          <w14:textFill>
            <w14:solidFill>
              <w14:schemeClr w14:val="tx1"/>
            </w14:solidFill>
          </w14:textFill>
        </w:rPr>
        <w:drawing>
          <wp:inline distT="0" distB="0" distL="0" distR="0">
            <wp:extent cx="5274310" cy="1974215"/>
            <wp:effectExtent l="0" t="0" r="2540" b="6985"/>
            <wp:docPr id="153510759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07591" name="图形 1"/>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5274310" cy="1974215"/>
                    </a:xfrm>
                    <a:prstGeom prst="rect">
                      <a:avLst/>
                    </a:prstGeom>
                  </pic:spPr>
                </pic:pic>
              </a:graphicData>
            </a:graphic>
          </wp:inline>
        </w:drawing>
      </w:r>
    </w:p>
    <w:p w14:paraId="7BD4FACC">
      <w:pPr>
        <w:jc w:val="center"/>
        <w:rPr>
          <w:rFonts w:hint="eastAsia" w:asciiTheme="minorEastAsia" w:hAnsiTheme="minorEastAsia"/>
          <w:b/>
          <w:sz w:val="24"/>
          <w:szCs w:val="24"/>
        </w:rPr>
      </w:pPr>
      <w:r>
        <w:rPr>
          <w:rFonts w:hint="eastAsia" w:asciiTheme="minorEastAsia" w:hAnsiTheme="minorEastAsia"/>
          <w:b/>
          <w:sz w:val="24"/>
          <w:szCs w:val="24"/>
        </w:rPr>
        <w:t>图1  水稻种子包衣</w:t>
      </w:r>
    </w:p>
    <w:p w14:paraId="6BE4FF84">
      <w:pPr>
        <w:snapToGrid w:val="0"/>
        <w:spacing w:line="600" w:lineRule="exact"/>
        <w:ind w:firstLine="643" w:firstLineChars="200"/>
        <w:rPr>
          <w:rFonts w:hint="eastAsia" w:ascii="楷体" w:hAnsi="楷体" w:eastAsia="楷体"/>
          <w:b/>
          <w:bCs/>
          <w:color w:val="000000" w:themeColor="text1"/>
          <w:sz w:val="32"/>
          <w:szCs w:val="32"/>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（二）配套技术</w:t>
      </w:r>
    </w:p>
    <w:p w14:paraId="4B2B6BD4">
      <w:pPr>
        <w:snapToGrid w:val="0"/>
        <w:spacing w:line="560" w:lineRule="exact"/>
        <w:ind w:firstLine="562"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b/>
          <w:color w:val="000000" w:themeColor="text1"/>
          <w:sz w:val="28"/>
          <w:szCs w:val="28"/>
          <w14:textFill>
            <w14:solidFill>
              <w14:schemeClr w14:val="tx1"/>
            </w14:solidFill>
          </w14:textFill>
        </w:rPr>
        <w:t>1、</w:t>
      </w:r>
      <w:r>
        <w:rPr>
          <w:rFonts w:ascii="Times New Roman" w:hAnsi="Times New Roman" w:eastAsia="仿宋_GB2312" w:cs="Times New Roman"/>
          <w:b/>
          <w:color w:val="000000" w:themeColor="text1"/>
          <w:sz w:val="28"/>
          <w:szCs w:val="28"/>
          <w14:textFill>
            <w14:solidFill>
              <w14:schemeClr w14:val="tx1"/>
            </w14:solidFill>
          </w14:textFill>
        </w:rPr>
        <w:t>种子选择：</w:t>
      </w:r>
      <w:r>
        <w:rPr>
          <w:rFonts w:ascii="Times New Roman" w:hAnsi="Times New Roman" w:eastAsia="仿宋_GB2312" w:cs="Times New Roman"/>
          <w:color w:val="000000" w:themeColor="text1"/>
          <w:sz w:val="28"/>
          <w:szCs w:val="28"/>
          <w14:textFill>
            <w14:solidFill>
              <w14:schemeClr w14:val="tx1"/>
            </w14:solidFill>
          </w14:textFill>
        </w:rPr>
        <w:t>种子质量要求符合国家标准，水稻种子发芽率大于90%</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净度大于95%。</w:t>
      </w:r>
    </w:p>
    <w:p w14:paraId="5BD48E0A">
      <w:pPr>
        <w:snapToGrid w:val="0"/>
        <w:spacing w:line="560" w:lineRule="exact"/>
        <w:ind w:firstLine="551" w:firstLineChars="196"/>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b/>
          <w:color w:val="000000" w:themeColor="text1"/>
          <w:sz w:val="28"/>
          <w:szCs w:val="28"/>
          <w14:textFill>
            <w14:solidFill>
              <w14:schemeClr w14:val="tx1"/>
            </w14:solidFill>
          </w14:textFill>
        </w:rPr>
        <w:t>2、</w:t>
      </w:r>
      <w:r>
        <w:rPr>
          <w:rFonts w:ascii="Times New Roman" w:hAnsi="Times New Roman" w:eastAsia="仿宋_GB2312" w:cs="Times New Roman"/>
          <w:b/>
          <w:color w:val="000000" w:themeColor="text1"/>
          <w:sz w:val="28"/>
          <w:szCs w:val="28"/>
          <w14:textFill>
            <w14:solidFill>
              <w14:schemeClr w14:val="tx1"/>
            </w14:solidFill>
          </w14:textFill>
        </w:rPr>
        <w:t>苗床准备：</w:t>
      </w:r>
      <w:r>
        <w:rPr>
          <w:rFonts w:ascii="Times New Roman" w:hAnsi="Times New Roman" w:eastAsia="仿宋_GB2312" w:cs="Times New Roman"/>
          <w:color w:val="000000" w:themeColor="text1"/>
          <w:sz w:val="28"/>
          <w:szCs w:val="28"/>
          <w14:textFill>
            <w14:solidFill>
              <w14:schemeClr w14:val="tx1"/>
            </w14:solidFill>
          </w14:textFill>
        </w:rPr>
        <w:t>早扣棚，要求置床化冻40厘米～50厘米；床面应达到</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实、平、光、直</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，苗床土酸碱度为pH值4.5～5.5；摆盘底土厚度为2厘米（营养土）厚薄均匀，土面平整。</w:t>
      </w:r>
    </w:p>
    <w:p w14:paraId="4F98566D">
      <w:pPr>
        <w:snapToGrid w:val="0"/>
        <w:spacing w:line="560" w:lineRule="exact"/>
        <w:ind w:firstLine="562"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b/>
          <w:color w:val="000000" w:themeColor="text1"/>
          <w:sz w:val="28"/>
          <w:szCs w:val="28"/>
          <w14:textFill>
            <w14:solidFill>
              <w14:schemeClr w14:val="tx1"/>
            </w14:solidFill>
          </w14:textFill>
        </w:rPr>
        <w:t>3、</w:t>
      </w:r>
      <w:r>
        <w:rPr>
          <w:rFonts w:ascii="Times New Roman" w:hAnsi="Times New Roman" w:eastAsia="仿宋_GB2312" w:cs="Times New Roman"/>
          <w:b/>
          <w:color w:val="000000" w:themeColor="text1"/>
          <w:sz w:val="28"/>
          <w:szCs w:val="28"/>
          <w14:textFill>
            <w14:solidFill>
              <w14:schemeClr w14:val="tx1"/>
            </w14:solidFill>
          </w14:textFill>
        </w:rPr>
        <w:t>浇透底水：</w:t>
      </w:r>
      <w:r>
        <w:rPr>
          <w:rFonts w:ascii="Times New Roman" w:hAnsi="Times New Roman" w:eastAsia="仿宋_GB2312" w:cs="Times New Roman"/>
          <w:color w:val="000000" w:themeColor="text1"/>
          <w:sz w:val="28"/>
          <w:szCs w:val="28"/>
          <w14:textFill>
            <w14:solidFill>
              <w14:schemeClr w14:val="tx1"/>
            </w14:solidFill>
          </w14:textFill>
        </w:rPr>
        <w:t>播种前一天浇足底水，达到秧盘里有积水，播种当天再浇一遍至积水，使床土达到饱和状态，无积水后播种，要求置床湿润15厘米～20厘米，土壤含水量达到65%以上。</w:t>
      </w:r>
    </w:p>
    <w:p w14:paraId="6861114A">
      <w:pPr>
        <w:jc w:val="center"/>
        <w:rPr>
          <w:rFonts w:hint="eastAsia" w:asciiTheme="minorEastAsia" w:hAnsiTheme="minorEastAsia"/>
          <w:b/>
          <w:bCs/>
        </w:rPr>
      </w:pPr>
      <w:r>
        <w:drawing>
          <wp:inline distT="0" distB="0" distL="0" distR="0">
            <wp:extent cx="3950970" cy="21875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srcRect/>
                    <a:stretch>
                      <a:fillRect/>
                    </a:stretch>
                  </pic:blipFill>
                  <pic:spPr>
                    <a:xfrm>
                      <a:off x="0" y="0"/>
                      <a:ext cx="3985941" cy="2207091"/>
                    </a:xfrm>
                    <a:prstGeom prst="rect">
                      <a:avLst/>
                    </a:prstGeom>
                    <a:noFill/>
                    <a:ln>
                      <a:noFill/>
                    </a:ln>
                  </pic:spPr>
                </pic:pic>
              </a:graphicData>
            </a:graphic>
          </wp:inline>
        </w:drawing>
      </w:r>
    </w:p>
    <w:p w14:paraId="6B8B74AC">
      <w:pPr>
        <w:jc w:val="center"/>
        <w:rPr>
          <w:rFonts w:hint="eastAsia" w:asciiTheme="minorEastAsia" w:hAnsiTheme="minorEastAsia"/>
          <w:b/>
          <w:sz w:val="24"/>
          <w:szCs w:val="24"/>
        </w:rPr>
      </w:pPr>
      <w:r>
        <w:rPr>
          <w:rFonts w:hint="eastAsia" w:asciiTheme="minorEastAsia" w:hAnsiTheme="minorEastAsia"/>
          <w:b/>
          <w:sz w:val="24"/>
          <w:szCs w:val="24"/>
        </w:rPr>
        <w:t>图2  秧盘</w:t>
      </w:r>
      <w:r>
        <w:rPr>
          <w:rFonts w:asciiTheme="minorEastAsia" w:hAnsiTheme="minorEastAsia"/>
          <w:b/>
          <w:sz w:val="24"/>
          <w:szCs w:val="24"/>
        </w:rPr>
        <w:t>浇</w:t>
      </w:r>
      <w:r>
        <w:rPr>
          <w:rFonts w:hint="eastAsia" w:asciiTheme="minorEastAsia" w:hAnsiTheme="minorEastAsia"/>
          <w:b/>
          <w:sz w:val="24"/>
          <w:szCs w:val="24"/>
        </w:rPr>
        <w:t>透底</w:t>
      </w:r>
      <w:r>
        <w:rPr>
          <w:rFonts w:asciiTheme="minorEastAsia" w:hAnsiTheme="minorEastAsia"/>
          <w:b/>
          <w:sz w:val="24"/>
          <w:szCs w:val="24"/>
        </w:rPr>
        <w:t>水</w:t>
      </w:r>
    </w:p>
    <w:p w14:paraId="6007E331">
      <w:pPr>
        <w:snapToGrid w:val="0"/>
        <w:spacing w:line="600" w:lineRule="exact"/>
        <w:ind w:firstLine="562"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b/>
          <w:color w:val="000000" w:themeColor="text1"/>
          <w:sz w:val="28"/>
          <w:szCs w:val="28"/>
          <w14:textFill>
            <w14:solidFill>
              <w14:schemeClr w14:val="tx1"/>
            </w14:solidFill>
          </w14:textFill>
        </w:rPr>
        <w:t>4、</w:t>
      </w:r>
      <w:r>
        <w:rPr>
          <w:rFonts w:ascii="Times New Roman" w:hAnsi="Times New Roman" w:eastAsia="仿宋_GB2312" w:cs="Times New Roman"/>
          <w:b/>
          <w:color w:val="000000" w:themeColor="text1"/>
          <w:sz w:val="28"/>
          <w:szCs w:val="28"/>
          <w14:textFill>
            <w14:solidFill>
              <w14:schemeClr w14:val="tx1"/>
            </w14:solidFill>
          </w14:textFill>
        </w:rPr>
        <w:t>播种：</w:t>
      </w:r>
      <w:r>
        <w:rPr>
          <w:rFonts w:hint="eastAsia" w:ascii="宋体" w:hAnsi="宋体" w:eastAsia="宋体" w:cs="宋体"/>
          <w:b/>
          <w:color w:val="000000" w:themeColor="text1"/>
          <w:sz w:val="28"/>
          <w:szCs w:val="28"/>
          <w14:textFill>
            <w14:solidFill>
              <w14:schemeClr w14:val="tx1"/>
            </w14:solidFill>
          </w14:textFill>
        </w:rPr>
        <w:t>①</w:t>
      </w:r>
      <w:r>
        <w:rPr>
          <w:rFonts w:ascii="Times New Roman" w:hAnsi="Times New Roman" w:eastAsia="仿宋_GB2312" w:cs="Times New Roman"/>
          <w:b/>
          <w:color w:val="000000" w:themeColor="text1"/>
          <w:sz w:val="28"/>
          <w:szCs w:val="28"/>
          <w14:textFill>
            <w14:solidFill>
              <w14:schemeClr w14:val="tx1"/>
            </w14:solidFill>
          </w14:textFill>
        </w:rPr>
        <w:t>播种时间：</w:t>
      </w:r>
      <w:r>
        <w:rPr>
          <w:rFonts w:ascii="Times New Roman" w:hAnsi="Times New Roman" w:eastAsia="仿宋_GB2312" w:cs="Times New Roman"/>
          <w:color w:val="000000" w:themeColor="text1"/>
          <w:sz w:val="28"/>
          <w:szCs w:val="28"/>
          <w14:textFill>
            <w14:solidFill>
              <w14:schemeClr w14:val="tx1"/>
            </w14:solidFill>
          </w14:textFill>
        </w:rPr>
        <w:t>正常温度水分条件下干籽播种比浸种催芽育秧晚出苗</w:t>
      </w:r>
      <w:r>
        <w:rPr>
          <w:rFonts w:hint="eastAsia" w:ascii="Times New Roman" w:hAnsi="Times New Roman" w:eastAsia="仿宋_GB2312" w:cs="Times New Roman"/>
          <w:color w:val="000000" w:themeColor="text1"/>
          <w:sz w:val="28"/>
          <w:szCs w:val="28"/>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～3天左右，各地应根据实际移栽期确定，按照从播种到插秧35天～40天倒推播种期，一般比催芽模式育秧提前3天～4天播种。</w:t>
      </w:r>
      <w:r>
        <w:rPr>
          <w:rFonts w:hint="eastAsia" w:ascii="宋体" w:hAnsi="宋体" w:eastAsia="宋体" w:cs="宋体"/>
          <w:b/>
          <w:color w:val="000000" w:themeColor="text1"/>
          <w:sz w:val="28"/>
          <w:szCs w:val="28"/>
          <w14:textFill>
            <w14:solidFill>
              <w14:schemeClr w14:val="tx1"/>
            </w14:solidFill>
          </w14:textFill>
        </w:rPr>
        <w:t>②</w:t>
      </w:r>
      <w:r>
        <w:rPr>
          <w:rFonts w:ascii="Times New Roman" w:hAnsi="Times New Roman" w:eastAsia="仿宋_GB2312" w:cs="Times New Roman"/>
          <w:b/>
          <w:color w:val="000000" w:themeColor="text1"/>
          <w:sz w:val="28"/>
          <w:szCs w:val="28"/>
          <w14:textFill>
            <w14:solidFill>
              <w14:schemeClr w14:val="tx1"/>
            </w14:solidFill>
          </w14:textFill>
        </w:rPr>
        <w:t>播种量：</w:t>
      </w:r>
      <w:r>
        <w:rPr>
          <w:rFonts w:ascii="Times New Roman" w:hAnsi="Times New Roman" w:eastAsia="仿宋_GB2312" w:cs="Times New Roman"/>
          <w:color w:val="000000" w:themeColor="text1"/>
          <w:sz w:val="28"/>
          <w:szCs w:val="28"/>
          <w14:textFill>
            <w14:solidFill>
              <w14:schemeClr w14:val="tx1"/>
            </w14:solidFill>
          </w14:textFill>
        </w:rPr>
        <w:t>每盘播干籽125克左右，播种均匀，无漏籽和重叠。</w:t>
      </w:r>
      <w:r>
        <w:rPr>
          <w:rFonts w:hint="eastAsia" w:ascii="宋体" w:hAnsi="宋体" w:eastAsia="宋体" w:cs="宋体"/>
          <w:b/>
          <w:color w:val="000000" w:themeColor="text1"/>
          <w:sz w:val="28"/>
          <w:szCs w:val="28"/>
          <w14:textFill>
            <w14:solidFill>
              <w14:schemeClr w14:val="tx1"/>
            </w14:solidFill>
          </w14:textFill>
        </w:rPr>
        <w:t>③</w:t>
      </w:r>
      <w:r>
        <w:rPr>
          <w:rFonts w:ascii="Times New Roman" w:hAnsi="Times New Roman" w:eastAsia="仿宋_GB2312" w:cs="Times New Roman"/>
          <w:b/>
          <w:color w:val="000000" w:themeColor="text1"/>
          <w:sz w:val="28"/>
          <w:szCs w:val="28"/>
          <w14:textFill>
            <w14:solidFill>
              <w14:schemeClr w14:val="tx1"/>
            </w14:solidFill>
          </w14:textFill>
        </w:rPr>
        <w:t>压种</w:t>
      </w:r>
      <w:r>
        <w:rPr>
          <w:rFonts w:hint="eastAsia" w:ascii="Times New Roman" w:hAnsi="Times New Roman" w:eastAsia="仿宋_GB2312" w:cs="Times New Roman"/>
          <w:b/>
          <w:color w:val="000000" w:themeColor="text1"/>
          <w:sz w:val="28"/>
          <w:szCs w:val="28"/>
          <w14:textFill>
            <w14:solidFill>
              <w14:schemeClr w14:val="tx1"/>
            </w14:solidFill>
          </w14:textFill>
        </w:rPr>
        <w:t>、覆土</w:t>
      </w:r>
      <w:r>
        <w:rPr>
          <w:rFonts w:ascii="Times New Roman" w:hAnsi="Times New Roman" w:eastAsia="仿宋_GB2312" w:cs="Times New Roman"/>
          <w:b/>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播种后压种，使种子三面着土</w:t>
      </w:r>
      <w:r>
        <w:rPr>
          <w:rFonts w:hint="eastAsia" w:ascii="Times New Roman" w:hAnsi="Times New Roman" w:eastAsia="仿宋_GB2312" w:cs="Times New Roman"/>
          <w:color w:val="000000" w:themeColor="text1"/>
          <w:sz w:val="28"/>
          <w:szCs w:val="28"/>
          <w14:textFill>
            <w14:solidFill>
              <w14:schemeClr w14:val="tx1"/>
            </w14:solidFill>
          </w14:textFill>
        </w:rPr>
        <w:t>，进行覆土，</w:t>
      </w:r>
      <w:r>
        <w:rPr>
          <w:rFonts w:ascii="Times New Roman" w:hAnsi="Times New Roman" w:eastAsia="仿宋_GB2312" w:cs="Times New Roman"/>
          <w:color w:val="000000" w:themeColor="text1"/>
          <w:sz w:val="28"/>
          <w:szCs w:val="28"/>
          <w14:textFill>
            <w14:solidFill>
              <w14:schemeClr w14:val="tx1"/>
            </w14:solidFill>
          </w14:textFill>
        </w:rPr>
        <w:t>覆土厚度为0.5厘米～1.0厘米，以不漏籽为宜。</w:t>
      </w:r>
      <w:r>
        <w:rPr>
          <w:rFonts w:hint="eastAsia" w:ascii="仿宋" w:hAnsi="仿宋" w:eastAsia="仿宋" w:cs="Times New Roman"/>
          <w:b/>
          <w:color w:val="000000" w:themeColor="text1"/>
          <w:sz w:val="28"/>
          <w:szCs w:val="28"/>
          <w14:textFill>
            <w14:solidFill>
              <w14:schemeClr w14:val="tx1"/>
            </w14:solidFill>
          </w14:textFill>
        </w:rPr>
        <w:t>④</w:t>
      </w:r>
      <w:r>
        <w:rPr>
          <w:rFonts w:ascii="Times New Roman" w:hAnsi="Times New Roman" w:eastAsia="仿宋_GB2312" w:cs="Times New Roman"/>
          <w:b/>
          <w:color w:val="000000" w:themeColor="text1"/>
          <w:sz w:val="28"/>
          <w:szCs w:val="28"/>
          <w14:textFill>
            <w14:solidFill>
              <w14:schemeClr w14:val="tx1"/>
            </w14:solidFill>
          </w14:textFill>
        </w:rPr>
        <w:t>覆膜</w:t>
      </w:r>
      <w:r>
        <w:rPr>
          <w:rFonts w:hint="eastAsia" w:ascii="Times New Roman" w:hAnsi="Times New Roman" w:eastAsia="仿宋_GB2312" w:cs="Times New Roman"/>
          <w:b/>
          <w:color w:val="000000" w:themeColor="text1"/>
          <w:sz w:val="28"/>
          <w:szCs w:val="28"/>
          <w14:textFill>
            <w14:solidFill>
              <w14:schemeClr w14:val="tx1"/>
            </w14:solidFill>
          </w14:textFill>
        </w:rPr>
        <w:t>和浇水</w:t>
      </w:r>
      <w:r>
        <w:rPr>
          <w:rFonts w:ascii="Times New Roman" w:hAnsi="Times New Roman" w:eastAsia="仿宋_GB2312" w:cs="Times New Roman"/>
          <w:b/>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底水浇的充足，能够保证一次出苗的情况下，覆土后先覆透气膜（无纺布），然后再覆盖塑料膜，</w:t>
      </w:r>
      <w:r>
        <w:rPr>
          <w:rFonts w:hint="eastAsia" w:ascii="Times New Roman" w:hAnsi="Times New Roman" w:eastAsia="仿宋_GB2312" w:cs="Times New Roman"/>
          <w:color w:val="000000" w:themeColor="text1"/>
          <w:sz w:val="28"/>
          <w:szCs w:val="28"/>
          <w14:textFill>
            <w14:solidFill>
              <w14:schemeClr w14:val="tx1"/>
            </w14:solidFill>
          </w14:textFill>
        </w:rPr>
        <w:t>以达到</w:t>
      </w:r>
      <w:r>
        <w:rPr>
          <w:rFonts w:ascii="Times New Roman" w:hAnsi="Times New Roman" w:eastAsia="仿宋_GB2312" w:cs="Times New Roman"/>
          <w:color w:val="000000" w:themeColor="text1"/>
          <w:sz w:val="28"/>
          <w:szCs w:val="28"/>
          <w14:textFill>
            <w14:solidFill>
              <w14:schemeClr w14:val="tx1"/>
            </w14:solidFill>
          </w14:textFill>
        </w:rPr>
        <w:t>保水保温</w:t>
      </w:r>
      <w:r>
        <w:rPr>
          <w:rFonts w:hint="eastAsia" w:ascii="Times New Roman" w:hAnsi="Times New Roman" w:eastAsia="仿宋_GB2312" w:cs="Times New Roman"/>
          <w:color w:val="000000" w:themeColor="text1"/>
          <w:sz w:val="28"/>
          <w:szCs w:val="28"/>
          <w14:textFill>
            <w14:solidFill>
              <w14:schemeClr w14:val="tx1"/>
            </w14:solidFill>
          </w14:textFill>
        </w:rPr>
        <w:t>的作用</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如果</w:t>
      </w:r>
      <w:r>
        <w:rPr>
          <w:rFonts w:ascii="Times New Roman" w:hAnsi="Times New Roman" w:eastAsia="仿宋_GB2312" w:cs="Times New Roman"/>
          <w:color w:val="000000" w:themeColor="text1"/>
          <w:sz w:val="28"/>
          <w:szCs w:val="28"/>
          <w14:textFill>
            <w14:solidFill>
              <w14:schemeClr w14:val="tx1"/>
            </w14:solidFill>
          </w14:textFill>
        </w:rPr>
        <w:t>底水浇的不足，</w:t>
      </w:r>
      <w:r>
        <w:rPr>
          <w:rFonts w:hint="eastAsia" w:ascii="Times New Roman" w:hAnsi="Times New Roman" w:eastAsia="仿宋_GB2312" w:cs="Times New Roman"/>
          <w:color w:val="000000" w:themeColor="text1"/>
          <w:sz w:val="28"/>
          <w:szCs w:val="28"/>
          <w14:textFill>
            <w14:solidFill>
              <w14:schemeClr w14:val="tx1"/>
            </w14:solidFill>
          </w14:textFill>
        </w:rPr>
        <w:t>需</w:t>
      </w:r>
      <w:r>
        <w:rPr>
          <w:rFonts w:ascii="Times New Roman" w:hAnsi="Times New Roman" w:eastAsia="仿宋_GB2312" w:cs="Times New Roman"/>
          <w:color w:val="000000" w:themeColor="text1"/>
          <w:sz w:val="28"/>
          <w:szCs w:val="28"/>
          <w14:textFill>
            <w14:solidFill>
              <w14:schemeClr w14:val="tx1"/>
            </w14:solidFill>
          </w14:textFill>
        </w:rPr>
        <w:t>要进行二次补水，</w:t>
      </w:r>
      <w:r>
        <w:rPr>
          <w:rFonts w:hint="eastAsia" w:ascii="Times New Roman" w:hAnsi="Times New Roman" w:eastAsia="仿宋_GB2312" w:cs="Times New Roman"/>
          <w:color w:val="000000" w:themeColor="text1"/>
          <w:sz w:val="28"/>
          <w:szCs w:val="28"/>
          <w14:textFill>
            <w14:solidFill>
              <w14:schemeClr w14:val="tx1"/>
            </w14:solidFill>
          </w14:textFill>
        </w:rPr>
        <w:t>则</w:t>
      </w:r>
      <w:r>
        <w:rPr>
          <w:rFonts w:ascii="Times New Roman" w:hAnsi="Times New Roman" w:eastAsia="仿宋_GB2312" w:cs="Times New Roman"/>
          <w:color w:val="000000" w:themeColor="text1"/>
          <w:sz w:val="28"/>
          <w:szCs w:val="28"/>
          <w14:textFill>
            <w14:solidFill>
              <w14:schemeClr w14:val="tx1"/>
            </w14:solidFill>
          </w14:textFill>
        </w:rPr>
        <w:t>覆土后先用透气膜覆盖，播后2天～3天</w:t>
      </w:r>
      <w:r>
        <w:rPr>
          <w:rFonts w:hint="eastAsia" w:ascii="Times New Roman" w:hAnsi="Times New Roman" w:eastAsia="仿宋_GB2312" w:cs="Times New Roman"/>
          <w:color w:val="000000" w:themeColor="text1"/>
          <w:sz w:val="28"/>
          <w:szCs w:val="28"/>
          <w14:textFill>
            <w14:solidFill>
              <w14:schemeClr w14:val="tx1"/>
            </w14:solidFill>
          </w14:textFill>
        </w:rPr>
        <w:t>采用</w:t>
      </w:r>
      <w:r>
        <w:rPr>
          <w:rFonts w:ascii="Times New Roman" w:hAnsi="Times New Roman" w:eastAsia="仿宋_GB2312" w:cs="Times New Roman"/>
          <w:color w:val="000000" w:themeColor="text1"/>
          <w:sz w:val="28"/>
          <w:szCs w:val="28"/>
          <w14:textFill>
            <w14:solidFill>
              <w14:schemeClr w14:val="tx1"/>
            </w14:solidFill>
          </w14:textFill>
        </w:rPr>
        <w:t>喷淋</w:t>
      </w:r>
      <w:r>
        <w:rPr>
          <w:rFonts w:hint="eastAsia" w:ascii="Times New Roman" w:hAnsi="Times New Roman" w:eastAsia="仿宋_GB2312" w:cs="Times New Roman"/>
          <w:color w:val="000000" w:themeColor="text1"/>
          <w:sz w:val="28"/>
          <w:szCs w:val="28"/>
          <w14:textFill>
            <w14:solidFill>
              <w14:schemeClr w14:val="tx1"/>
            </w14:solidFill>
          </w14:textFill>
        </w:rPr>
        <w:t>方式再</w:t>
      </w:r>
      <w:r>
        <w:rPr>
          <w:rFonts w:ascii="Times New Roman" w:hAnsi="Times New Roman" w:eastAsia="仿宋_GB2312" w:cs="Times New Roman"/>
          <w:color w:val="000000" w:themeColor="text1"/>
          <w:sz w:val="28"/>
          <w:szCs w:val="28"/>
          <w14:textFill>
            <w14:solidFill>
              <w14:schemeClr w14:val="tx1"/>
            </w14:solidFill>
          </w14:textFill>
        </w:rPr>
        <w:t>补一次水</w:t>
      </w:r>
      <w:r>
        <w:rPr>
          <w:rFonts w:hint="eastAsia" w:ascii="Times New Roman" w:hAnsi="Times New Roman" w:eastAsia="仿宋_GB2312" w:cs="Times New Roman"/>
          <w:color w:val="000000" w:themeColor="text1"/>
          <w:sz w:val="28"/>
          <w:szCs w:val="28"/>
          <w14:textFill>
            <w14:solidFill>
              <w14:schemeClr w14:val="tx1"/>
            </w14:solidFill>
          </w14:textFill>
        </w:rPr>
        <w:t>。一般</w:t>
      </w:r>
      <w:r>
        <w:rPr>
          <w:rFonts w:ascii="Times New Roman" w:hAnsi="Times New Roman" w:eastAsia="仿宋_GB2312" w:cs="Times New Roman"/>
          <w:color w:val="000000" w:themeColor="text1"/>
          <w:sz w:val="28"/>
          <w:szCs w:val="28"/>
          <w14:textFill>
            <w14:solidFill>
              <w14:schemeClr w14:val="tx1"/>
            </w14:solidFill>
          </w14:textFill>
        </w:rPr>
        <w:t>喷淋2小时～3小时，分两次浇，每次喷淋间隔1小时左右，利于水份吸收，补水后再用塑料膜覆盖。出苗70%～80%左右揭去覆膜，揭膜后马上浇一次水。出苗后管理与传统育秧管理相同。</w:t>
      </w:r>
    </w:p>
    <w:p w14:paraId="0A644618">
      <w:pPr>
        <w:ind w:firstLine="420" w:firstLineChars="200"/>
        <w:jc w:val="center"/>
      </w:pPr>
      <w:r>
        <w:drawing>
          <wp:inline distT="0" distB="0" distL="0" distR="0">
            <wp:extent cx="3968750" cy="2896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srcRect/>
                    <a:stretch>
                      <a:fillRect/>
                    </a:stretch>
                  </pic:blipFill>
                  <pic:spPr>
                    <a:xfrm>
                      <a:off x="0" y="0"/>
                      <a:ext cx="3983104" cy="2907891"/>
                    </a:xfrm>
                    <a:prstGeom prst="rect">
                      <a:avLst/>
                    </a:prstGeom>
                    <a:noFill/>
                    <a:ln>
                      <a:noFill/>
                    </a:ln>
                  </pic:spPr>
                </pic:pic>
              </a:graphicData>
            </a:graphic>
          </wp:inline>
        </w:drawing>
      </w:r>
    </w:p>
    <w:p w14:paraId="7CDE2044">
      <w:pPr>
        <w:jc w:val="center"/>
      </w:pPr>
      <w:r>
        <w:rPr>
          <w:rFonts w:hint="eastAsia" w:asciiTheme="minorEastAsia" w:hAnsiTheme="minorEastAsia"/>
          <w:b/>
          <w:bCs/>
          <w:sz w:val="24"/>
          <w:szCs w:val="24"/>
        </w:rPr>
        <w:t>图3 压种覆土</w:t>
      </w:r>
    </w:p>
    <w:p w14:paraId="4C8F3CEC">
      <w:pPr>
        <w:ind w:firstLine="420" w:firstLineChars="200"/>
      </w:pPr>
    </w:p>
    <w:p w14:paraId="4200822E">
      <w:pPr>
        <w:ind w:firstLine="420" w:firstLineChars="200"/>
      </w:pPr>
    </w:p>
    <w:p w14:paraId="100A4916">
      <w:pPr>
        <w:ind w:firstLine="420" w:firstLineChars="200"/>
      </w:pPr>
    </w:p>
    <w:p w14:paraId="7989A131">
      <w:pPr>
        <w:jc w:val="center"/>
      </w:pPr>
      <w:r>
        <w:drawing>
          <wp:inline distT="0" distB="0" distL="0" distR="0">
            <wp:extent cx="3862070" cy="2327910"/>
            <wp:effectExtent l="0" t="0" r="5080" b="0"/>
            <wp:docPr id="50179" name="Picture 16" descr="YL4KN58P0MQ5}0~[JQZ~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16" descr="YL4KN58P0MQ5}0~[JQZ~831"/>
                    <pic:cNvPicPr>
                      <a:picLocks noChangeAspect="1" noChangeArrowheads="1"/>
                    </pic:cNvPicPr>
                  </pic:nvPicPr>
                  <pic:blipFill>
                    <a:blip r:embed="rId9">
                      <a:extLst>
                        <a:ext uri="{28A0092B-C50C-407E-A947-70E740481C1C}">
                          <a14:useLocalDpi xmlns:a14="http://schemas.microsoft.com/office/drawing/2010/main" val="0"/>
                        </a:ext>
                      </a:extLst>
                    </a:blip>
                    <a:srcRect b="17751"/>
                    <a:stretch>
                      <a:fillRect/>
                    </a:stretch>
                  </pic:blipFill>
                  <pic:spPr>
                    <a:xfrm>
                      <a:off x="0" y="0"/>
                      <a:ext cx="3862817" cy="2328749"/>
                    </a:xfrm>
                    <a:prstGeom prst="rect">
                      <a:avLst/>
                    </a:prstGeom>
                    <a:noFill/>
                    <a:ln>
                      <a:noFill/>
                    </a:ln>
                  </pic:spPr>
                </pic:pic>
              </a:graphicData>
            </a:graphic>
          </wp:inline>
        </w:drawing>
      </w:r>
    </w:p>
    <w:p w14:paraId="422237A8">
      <w:pPr>
        <w:ind w:firstLine="3614" w:firstLineChars="1500"/>
        <w:rPr>
          <w:sz w:val="24"/>
          <w:szCs w:val="24"/>
        </w:rPr>
      </w:pPr>
      <w:r>
        <w:rPr>
          <w:rFonts w:hint="eastAsia" w:asciiTheme="minorEastAsia" w:hAnsiTheme="minorEastAsia"/>
          <w:b/>
          <w:bCs/>
          <w:sz w:val="24"/>
          <w:szCs w:val="24"/>
        </w:rPr>
        <w:t>图4</w:t>
      </w:r>
      <w:r>
        <w:rPr>
          <w:rFonts w:asciiTheme="minorEastAsia" w:hAnsiTheme="minorEastAsia"/>
          <w:b/>
          <w:bCs/>
          <w:sz w:val="24"/>
          <w:szCs w:val="24"/>
        </w:rPr>
        <w:t xml:space="preserve"> </w:t>
      </w:r>
      <w:r>
        <w:rPr>
          <w:rFonts w:hint="eastAsia" w:asciiTheme="minorEastAsia" w:hAnsiTheme="minorEastAsia"/>
          <w:b/>
          <w:bCs/>
          <w:sz w:val="24"/>
          <w:szCs w:val="24"/>
        </w:rPr>
        <w:t>播种效果</w:t>
      </w:r>
    </w:p>
    <w:p w14:paraId="425368B2">
      <w:pPr>
        <w:ind w:firstLine="420" w:firstLineChars="200"/>
      </w:pPr>
    </w:p>
    <w:p w14:paraId="29A3C09E">
      <w:pPr>
        <w:jc w:val="center"/>
      </w:pPr>
      <w:r>
        <w:drawing>
          <wp:inline distT="0" distB="0" distL="0" distR="0">
            <wp:extent cx="3869690" cy="31724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srcRect/>
                    <a:stretch>
                      <a:fillRect/>
                    </a:stretch>
                  </pic:blipFill>
                  <pic:spPr>
                    <a:xfrm>
                      <a:off x="0" y="0"/>
                      <a:ext cx="3891676" cy="3190847"/>
                    </a:xfrm>
                    <a:prstGeom prst="rect">
                      <a:avLst/>
                    </a:prstGeom>
                    <a:noFill/>
                    <a:ln>
                      <a:noFill/>
                    </a:ln>
                  </pic:spPr>
                </pic:pic>
              </a:graphicData>
            </a:graphic>
          </wp:inline>
        </w:drawing>
      </w:r>
    </w:p>
    <w:p w14:paraId="0A2143DF">
      <w:pPr>
        <w:jc w:val="center"/>
        <w:rPr>
          <w:rFonts w:hint="eastAsia" w:asciiTheme="minorEastAsia" w:hAnsiTheme="minorEastAsia"/>
          <w:b/>
          <w:bCs/>
          <w:sz w:val="24"/>
          <w:szCs w:val="24"/>
        </w:rPr>
      </w:pPr>
      <w:r>
        <w:rPr>
          <w:rFonts w:hint="eastAsia" w:asciiTheme="minorEastAsia" w:hAnsiTheme="minorEastAsia"/>
          <w:b/>
          <w:bCs/>
          <w:sz w:val="24"/>
          <w:szCs w:val="24"/>
        </w:rPr>
        <w:t>图</w:t>
      </w:r>
      <w:r>
        <w:rPr>
          <w:rFonts w:asciiTheme="minorEastAsia" w:hAnsiTheme="minorEastAsia"/>
          <w:b/>
          <w:bCs/>
          <w:sz w:val="24"/>
          <w:szCs w:val="24"/>
        </w:rPr>
        <w:t>5</w:t>
      </w:r>
      <w:r>
        <w:rPr>
          <w:rFonts w:hint="eastAsia" w:asciiTheme="minorEastAsia" w:hAnsiTheme="minorEastAsia"/>
          <w:b/>
          <w:bCs/>
          <w:sz w:val="24"/>
          <w:szCs w:val="24"/>
        </w:rPr>
        <w:t xml:space="preserve"> 覆膜保温</w:t>
      </w:r>
    </w:p>
    <w:p w14:paraId="50AFE7B0">
      <w:pPr>
        <w:adjustRightInd w:val="0"/>
        <w:snapToGrid w:val="0"/>
        <w:spacing w:line="600" w:lineRule="exact"/>
        <w:ind w:firstLine="640"/>
        <w:rPr>
          <w:rFonts w:ascii="Times New Roman" w:hAnsi="Times New Roman" w:eastAsia="黑体"/>
          <w:b/>
          <w:bCs/>
          <w:color w:val="000000" w:themeColor="text1"/>
          <w:sz w:val="28"/>
          <w:szCs w:val="28"/>
          <w14:textFill>
            <w14:solidFill>
              <w14:schemeClr w14:val="tx1"/>
            </w14:solidFill>
          </w14:textFill>
        </w:rPr>
      </w:pPr>
      <w:r>
        <w:rPr>
          <w:rFonts w:hint="eastAsia" w:ascii="Times New Roman" w:hAnsi="Times New Roman" w:eastAsia="黑体"/>
          <w:b/>
          <w:bCs/>
          <w:color w:val="000000" w:themeColor="text1"/>
          <w:sz w:val="32"/>
          <w:szCs w:val="32"/>
          <w14:textFill>
            <w14:solidFill>
              <w14:schemeClr w14:val="tx1"/>
            </w14:solidFill>
          </w14:textFill>
        </w:rPr>
        <w:t>三、适宜区域</w:t>
      </w:r>
    </w:p>
    <w:p w14:paraId="07582EAC">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陕西（陕南地区）、黑龙江</w:t>
      </w:r>
      <w:r>
        <w:rPr>
          <w:rFonts w:ascii="Times New Roman" w:hAnsi="Times New Roman" w:eastAsia="仿宋_GB2312" w:cs="Times New Roman"/>
          <w:color w:val="000000" w:themeColor="text1"/>
          <w:sz w:val="28"/>
          <w:szCs w:val="28"/>
          <w14:textFill>
            <w14:solidFill>
              <w14:schemeClr w14:val="tx1"/>
            </w14:solidFill>
          </w14:textFill>
        </w:rPr>
        <w:t>（第一至第三积温带）、吉林、辽宁、上海、江苏、浙江、安徽、湖北等省移栽水稻生产区。</w:t>
      </w:r>
    </w:p>
    <w:p w14:paraId="5D0326E4">
      <w:pPr>
        <w:adjustRightInd w:val="0"/>
        <w:snapToGrid w:val="0"/>
        <w:spacing w:line="600" w:lineRule="exact"/>
        <w:ind w:firstLine="640"/>
        <w:rPr>
          <w:rFonts w:ascii="Times New Roman" w:hAnsi="Times New Roman" w:eastAsia="黑体"/>
          <w:b/>
          <w:bCs/>
          <w:color w:val="000000" w:themeColor="text1"/>
          <w:sz w:val="28"/>
          <w:szCs w:val="28"/>
          <w14:textFill>
            <w14:solidFill>
              <w14:schemeClr w14:val="tx1"/>
            </w14:solidFill>
          </w14:textFill>
        </w:rPr>
      </w:pPr>
      <w:r>
        <w:rPr>
          <w:rFonts w:hint="eastAsia" w:ascii="Times New Roman" w:hAnsi="Times New Roman" w:eastAsia="黑体"/>
          <w:b/>
          <w:bCs/>
          <w:color w:val="000000" w:themeColor="text1"/>
          <w:sz w:val="32"/>
          <w:szCs w:val="32"/>
          <w14:textFill>
            <w14:solidFill>
              <w14:schemeClr w14:val="tx1"/>
            </w14:solidFill>
          </w14:textFill>
        </w:rPr>
        <w:t>四、注意事项</w:t>
      </w:r>
    </w:p>
    <w:p w14:paraId="5CF7F1B0">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1、水稻干籽育秧的</w:t>
      </w:r>
      <w:r>
        <w:rPr>
          <w:rFonts w:ascii="Times New Roman" w:hAnsi="Times New Roman" w:eastAsia="仿宋_GB2312" w:cs="Times New Roman"/>
          <w:color w:val="000000" w:themeColor="text1"/>
          <w:sz w:val="28"/>
          <w:szCs w:val="28"/>
          <w14:textFill>
            <w14:solidFill>
              <w14:schemeClr w14:val="tx1"/>
            </w14:solidFill>
          </w14:textFill>
        </w:rPr>
        <w:t>苗床</w:t>
      </w:r>
      <w:r>
        <w:rPr>
          <w:rFonts w:hint="eastAsia" w:ascii="Times New Roman" w:hAnsi="Times New Roman" w:eastAsia="仿宋_GB2312" w:cs="Times New Roman"/>
          <w:color w:val="000000" w:themeColor="text1"/>
          <w:sz w:val="28"/>
          <w:szCs w:val="28"/>
          <w14:textFill>
            <w14:solidFill>
              <w14:schemeClr w14:val="tx1"/>
            </w14:solidFill>
          </w14:textFill>
        </w:rPr>
        <w:t>土需要调酸，</w:t>
      </w:r>
      <w:r>
        <w:rPr>
          <w:rFonts w:ascii="Times New Roman" w:hAnsi="Times New Roman" w:eastAsia="仿宋_GB2312" w:cs="Times New Roman"/>
          <w:color w:val="000000" w:themeColor="text1"/>
          <w:sz w:val="28"/>
          <w:szCs w:val="28"/>
          <w14:textFill>
            <w14:solidFill>
              <w14:schemeClr w14:val="tx1"/>
            </w14:solidFill>
          </w14:textFill>
        </w:rPr>
        <w:t>酸碱度为 pH 值 4.5～5.5</w:t>
      </w:r>
      <w:r>
        <w:rPr>
          <w:rFonts w:hint="eastAsia" w:ascii="Times New Roman" w:hAnsi="Times New Roman" w:eastAsia="仿宋_GB2312" w:cs="Times New Roman"/>
          <w:color w:val="000000" w:themeColor="text1"/>
          <w:sz w:val="28"/>
          <w:szCs w:val="28"/>
          <w14:textFill>
            <w14:solidFill>
              <w14:schemeClr w14:val="tx1"/>
            </w14:solidFill>
          </w14:textFill>
        </w:rPr>
        <w:t>；并在</w:t>
      </w:r>
      <w:r>
        <w:rPr>
          <w:rFonts w:ascii="Times New Roman" w:hAnsi="Times New Roman" w:eastAsia="仿宋_GB2312" w:cs="Times New Roman"/>
          <w:color w:val="000000" w:themeColor="text1"/>
          <w:sz w:val="28"/>
          <w:szCs w:val="28"/>
          <w14:textFill>
            <w14:solidFill>
              <w14:schemeClr w14:val="tx1"/>
            </w14:solidFill>
          </w14:textFill>
        </w:rPr>
        <w:t>播种前一天浇透底水，播种当天再浇一遍至积水，使床土达到饱和状态，土壤含水量达到 65%以上。</w:t>
      </w:r>
    </w:p>
    <w:p w14:paraId="2EFFC641">
      <w:pPr>
        <w:snapToGrid w:val="0"/>
        <w:spacing w:line="60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2、水稻种子</w:t>
      </w:r>
      <w:r>
        <w:rPr>
          <w:rFonts w:ascii="仿宋_GB2312" w:hAnsi="Times New Roman" w:eastAsia="仿宋_GB2312"/>
          <w:color w:val="000000" w:themeColor="text1"/>
          <w:sz w:val="28"/>
          <w:szCs w:val="28"/>
          <w14:textFill>
            <w14:solidFill>
              <w14:schemeClr w14:val="tx1"/>
            </w14:solidFill>
          </w14:textFill>
        </w:rPr>
        <w:t>包衣后阴干</w:t>
      </w:r>
      <w:r>
        <w:rPr>
          <w:rFonts w:hint="eastAsia" w:ascii="仿宋_GB2312" w:hAnsi="Times New Roman" w:eastAsia="仿宋_GB2312"/>
          <w:color w:val="000000" w:themeColor="text1"/>
          <w:sz w:val="28"/>
          <w:szCs w:val="28"/>
          <w14:textFill>
            <w14:solidFill>
              <w14:schemeClr w14:val="tx1"/>
            </w14:solidFill>
          </w14:textFill>
        </w:rPr>
        <w:t>，</w:t>
      </w:r>
      <w:r>
        <w:rPr>
          <w:rFonts w:ascii="仿宋_GB2312" w:hAnsi="Times New Roman" w:eastAsia="仿宋_GB2312"/>
          <w:color w:val="000000" w:themeColor="text1"/>
          <w:sz w:val="28"/>
          <w:szCs w:val="28"/>
          <w14:textFill>
            <w14:solidFill>
              <w14:schemeClr w14:val="tx1"/>
            </w14:solidFill>
          </w14:textFill>
        </w:rPr>
        <w:t>种子避免阳光直射</w:t>
      </w:r>
      <w:r>
        <w:rPr>
          <w:rFonts w:hint="eastAsia" w:ascii="仿宋_GB2312" w:hAnsi="Times New Roman" w:eastAsia="仿宋_GB2312"/>
          <w:color w:val="000000" w:themeColor="text1"/>
          <w:sz w:val="28"/>
          <w:szCs w:val="28"/>
          <w14:textFill>
            <w14:solidFill>
              <w14:schemeClr w14:val="tx1"/>
            </w14:solidFill>
          </w14:textFill>
        </w:rPr>
        <w:t>。</w:t>
      </w:r>
    </w:p>
    <w:p w14:paraId="256572DF">
      <w:pPr>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w:t>
      </w:r>
      <w:r>
        <w:rPr>
          <w:rFonts w:hint="eastAsia" w:ascii="Times New Roman" w:hAnsi="Times New Roman" w:eastAsia="仿宋_GB2312" w:cs="Times New Roman"/>
          <w:color w:val="000000" w:themeColor="text1"/>
          <w:sz w:val="28"/>
          <w:szCs w:val="28"/>
          <w14:textFill>
            <w14:solidFill>
              <w14:schemeClr w14:val="tx1"/>
            </w14:solidFill>
          </w14:textFill>
        </w:rPr>
        <w:t>、干籽育秧的水稻种子</w:t>
      </w:r>
      <w:r>
        <w:rPr>
          <w:rFonts w:ascii="Times New Roman" w:hAnsi="Times New Roman" w:eastAsia="仿宋_GB2312" w:cs="Times New Roman"/>
          <w:color w:val="000000" w:themeColor="text1"/>
          <w:sz w:val="28"/>
          <w:szCs w:val="28"/>
          <w14:textFill>
            <w14:solidFill>
              <w14:schemeClr w14:val="tx1"/>
            </w14:solidFill>
          </w14:textFill>
        </w:rPr>
        <w:t>播种时间一般比催芽模式育秧提前 3 天～4 天</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按照从播种到插秧 35 天～40天倒推播种期</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各地应根据实际移栽期确定</w:t>
      </w:r>
      <w:r>
        <w:rPr>
          <w:rFonts w:hint="eastAsia" w:ascii="Times New Roman" w:hAnsi="Times New Roman" w:eastAsia="仿宋_GB2312" w:cs="Times New Roman"/>
          <w:color w:val="000000" w:themeColor="text1"/>
          <w:sz w:val="28"/>
          <w:szCs w:val="28"/>
          <w14:textFill>
            <w14:solidFill>
              <w14:schemeClr w14:val="tx1"/>
            </w14:solidFill>
          </w14:textFill>
        </w:rPr>
        <w:t>。</w:t>
      </w:r>
    </w:p>
    <w:p w14:paraId="3FF4A4E3">
      <w:pPr>
        <w:snapToGrid w:val="0"/>
        <w:spacing w:line="600" w:lineRule="exact"/>
        <w:ind w:firstLine="562" w:firstLineChars="201"/>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w:t>
      </w:r>
      <w:r>
        <w:rPr>
          <w:rFonts w:hint="eastAsia" w:ascii="Times New Roman" w:hAnsi="Times New Roman" w:eastAsia="仿宋_GB2312" w:cs="Times New Roman"/>
          <w:color w:val="000000" w:themeColor="text1"/>
          <w:sz w:val="28"/>
          <w:szCs w:val="28"/>
          <w14:textFill>
            <w14:solidFill>
              <w14:schemeClr w14:val="tx1"/>
            </w14:solidFill>
          </w14:textFill>
        </w:rPr>
        <w:t>、水稻种子</w:t>
      </w:r>
      <w:r>
        <w:rPr>
          <w:rFonts w:ascii="Times New Roman" w:hAnsi="Times New Roman" w:eastAsia="仿宋_GB2312" w:cs="Times New Roman"/>
          <w:color w:val="000000" w:themeColor="text1"/>
          <w:sz w:val="28"/>
          <w:szCs w:val="28"/>
          <w14:textFill>
            <w14:solidFill>
              <w14:schemeClr w14:val="tx1"/>
            </w14:solidFill>
          </w14:textFill>
        </w:rPr>
        <w:t>出苗 70% ~80%左右揭去</w:t>
      </w:r>
      <w:r>
        <w:rPr>
          <w:rFonts w:hint="eastAsia" w:ascii="Times New Roman" w:hAnsi="Times New Roman" w:eastAsia="仿宋_GB2312" w:cs="Times New Roman"/>
          <w:color w:val="000000" w:themeColor="text1"/>
          <w:sz w:val="28"/>
          <w:szCs w:val="28"/>
          <w14:textFill>
            <w14:solidFill>
              <w14:schemeClr w14:val="tx1"/>
            </w14:solidFill>
          </w14:textFill>
        </w:rPr>
        <w:t>覆盖的塑料</w:t>
      </w:r>
      <w:r>
        <w:rPr>
          <w:rFonts w:ascii="Times New Roman" w:hAnsi="Times New Roman" w:eastAsia="仿宋_GB2312" w:cs="Times New Roman"/>
          <w:color w:val="000000" w:themeColor="text1"/>
          <w:sz w:val="28"/>
          <w:szCs w:val="28"/>
          <w14:textFill>
            <w14:solidFill>
              <w14:schemeClr w14:val="tx1"/>
            </w14:solidFill>
          </w14:textFill>
        </w:rPr>
        <w:t>膜，揭膜后</w:t>
      </w:r>
      <w:r>
        <w:rPr>
          <w:rFonts w:hint="eastAsia" w:ascii="Times New Roman" w:hAnsi="Times New Roman" w:eastAsia="仿宋_GB2312" w:cs="Times New Roman"/>
          <w:color w:val="000000" w:themeColor="text1"/>
          <w:sz w:val="28"/>
          <w:szCs w:val="28"/>
          <w14:textFill>
            <w14:solidFill>
              <w14:schemeClr w14:val="tx1"/>
            </w14:solidFill>
          </w14:textFill>
        </w:rPr>
        <w:t>需要</w:t>
      </w:r>
      <w:r>
        <w:rPr>
          <w:rFonts w:ascii="Times New Roman" w:hAnsi="Times New Roman" w:eastAsia="仿宋_GB2312" w:cs="Times New Roman"/>
          <w:color w:val="000000" w:themeColor="text1"/>
          <w:sz w:val="28"/>
          <w:szCs w:val="28"/>
          <w14:textFill>
            <w14:solidFill>
              <w14:schemeClr w14:val="tx1"/>
            </w14:solidFill>
          </w14:textFill>
        </w:rPr>
        <w:t>马上浇一次水。</w:t>
      </w:r>
    </w:p>
    <w:p w14:paraId="27666412">
      <w:pPr>
        <w:snapToGrid w:val="0"/>
        <w:spacing w:line="600" w:lineRule="exact"/>
        <w:ind w:firstLine="562" w:firstLineChars="201"/>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5</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苗床</w:t>
      </w:r>
      <w:r>
        <w:rPr>
          <w:rFonts w:hint="eastAsia" w:ascii="Times New Roman" w:hAnsi="Times New Roman" w:eastAsia="仿宋_GB2312" w:cs="Times New Roman"/>
          <w:color w:val="000000" w:themeColor="text1"/>
          <w:sz w:val="28"/>
          <w:szCs w:val="28"/>
          <w14:textFill>
            <w14:solidFill>
              <w14:schemeClr w14:val="tx1"/>
            </w14:solidFill>
          </w14:textFill>
        </w:rPr>
        <w:t>除草尽量不</w:t>
      </w:r>
      <w:r>
        <w:rPr>
          <w:rFonts w:ascii="Times New Roman" w:hAnsi="Times New Roman" w:eastAsia="仿宋_GB2312" w:cs="Times New Roman"/>
          <w:color w:val="000000" w:themeColor="text1"/>
          <w:sz w:val="28"/>
          <w:szCs w:val="28"/>
          <w14:textFill>
            <w14:solidFill>
              <w14:schemeClr w14:val="tx1"/>
            </w14:solidFill>
          </w14:textFill>
        </w:rPr>
        <w:t>选择苗前封闭除草</w:t>
      </w:r>
      <w:r>
        <w:rPr>
          <w:rFonts w:hint="eastAsia" w:ascii="Times New Roman" w:hAnsi="Times New Roman" w:eastAsia="仿宋_GB2312" w:cs="Times New Roman"/>
          <w:color w:val="000000" w:themeColor="text1"/>
          <w:sz w:val="28"/>
          <w:szCs w:val="28"/>
          <w14:textFill>
            <w14:solidFill>
              <w14:schemeClr w14:val="tx1"/>
            </w14:solidFill>
          </w14:textFill>
        </w:rPr>
        <w:t>，避免因为</w:t>
      </w:r>
      <w:r>
        <w:rPr>
          <w:rFonts w:ascii="Times New Roman" w:hAnsi="Times New Roman" w:eastAsia="仿宋_GB2312" w:cs="Times New Roman"/>
          <w:color w:val="000000" w:themeColor="text1"/>
          <w:sz w:val="28"/>
          <w:szCs w:val="28"/>
          <w14:textFill>
            <w14:solidFill>
              <w14:schemeClr w14:val="tx1"/>
            </w14:solidFill>
          </w14:textFill>
        </w:rPr>
        <w:t>封闭除草后再给苗床</w:t>
      </w:r>
      <w:r>
        <w:rPr>
          <w:rFonts w:hint="eastAsia" w:ascii="Times New Roman" w:hAnsi="Times New Roman" w:eastAsia="仿宋_GB2312" w:cs="Times New Roman"/>
          <w:color w:val="000000" w:themeColor="text1"/>
          <w:sz w:val="28"/>
          <w:szCs w:val="28"/>
          <w14:textFill>
            <w14:solidFill>
              <w14:schemeClr w14:val="tx1"/>
            </w14:solidFill>
          </w14:textFill>
        </w:rPr>
        <w:t>补</w:t>
      </w:r>
      <w:r>
        <w:rPr>
          <w:rFonts w:ascii="Times New Roman" w:hAnsi="Times New Roman" w:eastAsia="仿宋_GB2312" w:cs="Times New Roman"/>
          <w:color w:val="000000" w:themeColor="text1"/>
          <w:sz w:val="28"/>
          <w:szCs w:val="28"/>
          <w14:textFill>
            <w14:solidFill>
              <w14:schemeClr w14:val="tx1"/>
            </w14:solidFill>
          </w14:textFill>
        </w:rPr>
        <w:t>浇水</w:t>
      </w:r>
      <w:r>
        <w:rPr>
          <w:rFonts w:hint="eastAsia" w:ascii="Times New Roman" w:hAnsi="Times New Roman" w:eastAsia="仿宋_GB2312" w:cs="Times New Roman"/>
          <w:color w:val="000000" w:themeColor="text1"/>
          <w:sz w:val="28"/>
          <w:szCs w:val="28"/>
          <w14:textFill>
            <w14:solidFill>
              <w14:schemeClr w14:val="tx1"/>
            </w14:solidFill>
          </w14:textFill>
        </w:rPr>
        <w:t>而导致</w:t>
      </w:r>
      <w:r>
        <w:rPr>
          <w:rFonts w:ascii="Times New Roman" w:hAnsi="Times New Roman" w:eastAsia="仿宋_GB2312" w:cs="Times New Roman"/>
          <w:color w:val="000000" w:themeColor="text1"/>
          <w:sz w:val="28"/>
          <w:szCs w:val="28"/>
          <w14:textFill>
            <w14:solidFill>
              <w14:schemeClr w14:val="tx1"/>
            </w14:solidFill>
          </w14:textFill>
        </w:rPr>
        <w:t>药害。</w:t>
      </w:r>
    </w:p>
    <w:p w14:paraId="1E19C495">
      <w:pPr>
        <w:snapToGrid w:val="0"/>
        <w:spacing w:before="156" w:beforeLines="50" w:line="560" w:lineRule="exact"/>
        <w:ind w:firstLine="643" w:firstLineChars="200"/>
        <w:rPr>
          <w:rFonts w:ascii="Times New Roman" w:hAnsi="Times New Roman" w:eastAsia="黑体"/>
          <w:b/>
          <w:bCs/>
          <w:color w:val="000000" w:themeColor="text1"/>
          <w:sz w:val="28"/>
          <w:szCs w:val="28"/>
          <w14:textFill>
            <w14:solidFill>
              <w14:schemeClr w14:val="tx1"/>
            </w14:solidFill>
          </w14:textFill>
        </w:rPr>
      </w:pPr>
      <w:r>
        <w:rPr>
          <w:rFonts w:hint="eastAsia" w:ascii="Times New Roman" w:hAnsi="Times New Roman" w:eastAsia="黑体"/>
          <w:b/>
          <w:bCs/>
          <w:color w:val="000000" w:themeColor="text1"/>
          <w:sz w:val="32"/>
          <w:szCs w:val="32"/>
          <w14:textFill>
            <w14:solidFill>
              <w14:schemeClr w14:val="tx1"/>
            </w14:solidFill>
          </w14:textFill>
        </w:rPr>
        <w:t>五、技术依托单位</w:t>
      </w:r>
    </w:p>
    <w:p w14:paraId="1020E09A">
      <w:pPr>
        <w:pStyle w:val="14"/>
        <w:numPr>
          <w:ilvl w:val="0"/>
          <w:numId w:val="1"/>
        </w:numPr>
        <w:adjustRightInd w:val="0"/>
        <w:snapToGrid w:val="0"/>
        <w:spacing w:line="600" w:lineRule="exact"/>
        <w:ind w:firstLineChars="0"/>
        <w:rPr>
          <w:rFonts w:ascii="Times New Roman" w:hAnsi="Times New Roman" w:eastAsia="仿宋_GB2312" w:cs="Times New Roman"/>
          <w:b/>
          <w:color w:val="000000" w:themeColor="text1"/>
          <w:sz w:val="28"/>
          <w:szCs w:val="28"/>
          <w14:textFill>
            <w14:solidFill>
              <w14:schemeClr w14:val="tx1"/>
            </w14:solidFill>
          </w14:textFill>
        </w:rPr>
      </w:pPr>
      <w:r>
        <w:rPr>
          <w:rFonts w:hint="eastAsia" w:ascii="Times New Roman" w:hAnsi="Times New Roman" w:eastAsia="仿宋_GB2312" w:cs="Times New Roman"/>
          <w:b/>
          <w:color w:val="000000" w:themeColor="text1"/>
          <w:sz w:val="28"/>
          <w:szCs w:val="28"/>
          <w14:textFill>
            <w14:solidFill>
              <w14:schemeClr w14:val="tx1"/>
            </w14:solidFill>
          </w14:textFill>
        </w:rPr>
        <w:t>西北农林科技大学</w:t>
      </w:r>
    </w:p>
    <w:p w14:paraId="58552A44">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联系地址：陕西省杨凌示范区西农路2</w:t>
      </w:r>
      <w:r>
        <w:rPr>
          <w:rFonts w:ascii="Times New Roman" w:hAnsi="Times New Roman" w:eastAsia="仿宋_GB2312" w:cs="Times New Roman"/>
          <w:color w:val="000000" w:themeColor="text1"/>
          <w:sz w:val="28"/>
          <w:szCs w:val="28"/>
          <w14:textFill>
            <w14:solidFill>
              <w14:schemeClr w14:val="tx1"/>
            </w14:solidFill>
          </w14:textFill>
        </w:rPr>
        <w:t>2</w:t>
      </w:r>
      <w:r>
        <w:rPr>
          <w:rFonts w:hint="eastAsia" w:ascii="Times New Roman" w:hAnsi="Times New Roman" w:eastAsia="仿宋_GB2312" w:cs="Times New Roman"/>
          <w:color w:val="000000" w:themeColor="text1"/>
          <w:sz w:val="28"/>
          <w:szCs w:val="28"/>
          <w14:textFill>
            <w14:solidFill>
              <w14:schemeClr w14:val="tx1"/>
            </w14:solidFill>
          </w14:textFill>
        </w:rPr>
        <w:t>号</w:t>
      </w:r>
    </w:p>
    <w:p w14:paraId="564366FE">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邮政编码：</w:t>
      </w:r>
      <w:r>
        <w:rPr>
          <w:rFonts w:ascii="Times New Roman" w:hAnsi="Times New Roman" w:eastAsia="仿宋_GB2312" w:cs="Times New Roman"/>
          <w:color w:val="000000" w:themeColor="text1"/>
          <w:sz w:val="28"/>
          <w:szCs w:val="28"/>
          <w14:textFill>
            <w14:solidFill>
              <w14:schemeClr w14:val="tx1"/>
            </w14:solidFill>
          </w14:textFill>
        </w:rPr>
        <w:t>712100</w:t>
      </w:r>
    </w:p>
    <w:p w14:paraId="72D2F483">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联系人：刘西莉、苗建强、彭钦</w:t>
      </w:r>
    </w:p>
    <w:p w14:paraId="21FB486B">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联系电话：1</w:t>
      </w:r>
      <w:r>
        <w:rPr>
          <w:rFonts w:ascii="Times New Roman" w:hAnsi="Times New Roman" w:eastAsia="仿宋_GB2312" w:cs="Times New Roman"/>
          <w:color w:val="000000" w:themeColor="text1"/>
          <w:sz w:val="28"/>
          <w:szCs w:val="28"/>
          <w14:textFill>
            <w14:solidFill>
              <w14:schemeClr w14:val="tx1"/>
            </w14:solidFill>
          </w14:textFill>
        </w:rPr>
        <w:t>3801214299</w:t>
      </w:r>
      <w:r>
        <w:rPr>
          <w:rFonts w:hint="eastAsia" w:ascii="Times New Roman" w:hAnsi="Times New Roman" w:eastAsia="仿宋_GB2312" w:cs="Times New Roman"/>
          <w:color w:val="000000" w:themeColor="text1"/>
          <w:sz w:val="28"/>
          <w:szCs w:val="28"/>
          <w14:textFill>
            <w14:solidFill>
              <w14:schemeClr w14:val="tx1"/>
            </w14:solidFill>
          </w14:textFill>
        </w:rPr>
        <w:t>，0</w:t>
      </w:r>
      <w:r>
        <w:rPr>
          <w:rFonts w:ascii="Times New Roman" w:hAnsi="Times New Roman" w:eastAsia="仿宋_GB2312" w:cs="Times New Roman"/>
          <w:color w:val="000000" w:themeColor="text1"/>
          <w:sz w:val="28"/>
          <w:szCs w:val="28"/>
          <w14:textFill>
            <w14:solidFill>
              <w14:schemeClr w14:val="tx1"/>
            </w14:solidFill>
          </w14:textFill>
        </w:rPr>
        <w:t>29</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87082455</w:t>
      </w:r>
    </w:p>
    <w:p w14:paraId="4015EA0B">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电子邮箱：seedling@nwafu.edu.cn</w:t>
      </w:r>
    </w:p>
    <w:p w14:paraId="28E8FB72">
      <w:pPr>
        <w:pStyle w:val="14"/>
        <w:numPr>
          <w:ilvl w:val="0"/>
          <w:numId w:val="1"/>
        </w:numPr>
        <w:adjustRightInd w:val="0"/>
        <w:snapToGrid w:val="0"/>
        <w:spacing w:line="600" w:lineRule="exact"/>
        <w:ind w:firstLineChars="0"/>
        <w:rPr>
          <w:rFonts w:ascii="Times New Roman" w:hAnsi="Times New Roman" w:eastAsia="仿宋_GB2312" w:cs="Times New Roman"/>
          <w:b/>
          <w:color w:val="000000" w:themeColor="text1"/>
          <w:sz w:val="28"/>
          <w:szCs w:val="28"/>
          <w14:textFill>
            <w14:solidFill>
              <w14:schemeClr w14:val="tx1"/>
            </w14:solidFill>
          </w14:textFill>
        </w:rPr>
      </w:pPr>
      <w:r>
        <w:rPr>
          <w:rFonts w:hint="eastAsia" w:ascii="Times New Roman" w:hAnsi="Times New Roman" w:eastAsia="仿宋_GB2312" w:cs="Times New Roman"/>
          <w:b/>
          <w:color w:val="000000" w:themeColor="text1"/>
          <w:sz w:val="28"/>
          <w:szCs w:val="28"/>
          <w14:textFill>
            <w14:solidFill>
              <w14:schemeClr w14:val="tx1"/>
            </w14:solidFill>
          </w14:textFill>
        </w:rPr>
        <w:t>全国农业技术推广服务中心</w:t>
      </w:r>
    </w:p>
    <w:p w14:paraId="0D0308C1">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联系地址：</w:t>
      </w:r>
      <w:r>
        <w:rPr>
          <w:rFonts w:ascii="Times New Roman" w:hAnsi="Times New Roman" w:eastAsia="仿宋_GB2312" w:cs="Times New Roman"/>
          <w:bCs/>
          <w:color w:val="000000" w:themeColor="text1"/>
          <w:sz w:val="28"/>
          <w:szCs w:val="28"/>
          <w14:textFill>
            <w14:solidFill>
              <w14:schemeClr w14:val="tx1"/>
            </w14:solidFill>
          </w14:textFill>
        </w:rPr>
        <w:t>北京市朝阳区麦子店街20号</w:t>
      </w:r>
    </w:p>
    <w:p w14:paraId="48737A67">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邮政编码：10</w:t>
      </w:r>
      <w:r>
        <w:rPr>
          <w:rFonts w:ascii="Times New Roman" w:hAnsi="Times New Roman" w:eastAsia="仿宋_GB2312" w:cs="Times New Roman"/>
          <w:color w:val="000000" w:themeColor="text1"/>
          <w:sz w:val="28"/>
          <w:szCs w:val="28"/>
          <w14:textFill>
            <w14:solidFill>
              <w14:schemeClr w14:val="tx1"/>
            </w14:solidFill>
          </w14:textFill>
        </w:rPr>
        <w:t>0125</w:t>
      </w:r>
    </w:p>
    <w:p w14:paraId="112B944B">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联系人：张帅</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秦萌、王云鹏、任宗杰</w:t>
      </w:r>
    </w:p>
    <w:p w14:paraId="61813BF9">
      <w:pPr>
        <w:adjustRightInd w:val="0"/>
        <w:snapToGri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color w:val="000000" w:themeColor="text1"/>
          <w:sz w:val="28"/>
          <w:szCs w:val="28"/>
          <w14:textFill>
            <w14:solidFill>
              <w14:schemeClr w14:val="tx1"/>
            </w14:solidFill>
          </w14:textFill>
        </w:rPr>
        <w:t>联系电话：</w:t>
      </w:r>
      <w:r>
        <w:rPr>
          <w:rFonts w:ascii="Times New Roman" w:hAnsi="Times New Roman" w:eastAsia="仿宋_GB2312" w:cs="Times New Roman"/>
          <w:sz w:val="28"/>
          <w:szCs w:val="28"/>
        </w:rPr>
        <w:t>010-59194523、13051378956</w:t>
      </w:r>
    </w:p>
    <w:p w14:paraId="135AB5DE">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电子邮箱：</w:t>
      </w:r>
      <w:r>
        <w:rPr>
          <w:rFonts w:hint="eastAsia" w:ascii="Times New Roman" w:hAnsi="Times New Roman" w:eastAsia="仿宋_GB2312" w:cs="Times New Roman"/>
          <w:sz w:val="28"/>
          <w:szCs w:val="28"/>
        </w:rPr>
        <w:t>zhangsh2007@agri.gov.c</w:t>
      </w:r>
      <w:r>
        <w:rPr>
          <w:rFonts w:hint="eastAsia" w:ascii="微软雅黑" w:hAnsi="微软雅黑" w:eastAsia="微软雅黑"/>
        </w:rPr>
        <w:t>n</w:t>
      </w:r>
    </w:p>
    <w:p w14:paraId="69DDD730">
      <w:pPr>
        <w:pStyle w:val="14"/>
        <w:numPr>
          <w:ilvl w:val="0"/>
          <w:numId w:val="1"/>
        </w:numPr>
        <w:adjustRightInd w:val="0"/>
        <w:snapToGrid w:val="0"/>
        <w:spacing w:line="600" w:lineRule="exact"/>
        <w:ind w:firstLineChars="0"/>
        <w:rPr>
          <w:rFonts w:ascii="Times New Roman" w:hAnsi="Times New Roman" w:eastAsia="仿宋_GB2312" w:cs="Times New Roman"/>
          <w:b/>
          <w:color w:val="000000" w:themeColor="text1"/>
          <w:sz w:val="28"/>
          <w:szCs w:val="28"/>
          <w14:textFill>
            <w14:solidFill>
              <w14:schemeClr w14:val="tx1"/>
            </w14:solidFill>
          </w14:textFill>
        </w:rPr>
      </w:pPr>
      <w:r>
        <w:rPr>
          <w:rFonts w:hint="eastAsia" w:ascii="Times New Roman" w:hAnsi="Times New Roman" w:eastAsia="仿宋_GB2312" w:cs="Times New Roman"/>
          <w:b/>
          <w:color w:val="000000" w:themeColor="text1"/>
          <w:sz w:val="28"/>
          <w:szCs w:val="28"/>
          <w14:textFill>
            <w14:solidFill>
              <w14:schemeClr w14:val="tx1"/>
            </w14:solidFill>
          </w14:textFill>
        </w:rPr>
        <w:t>中国农业大学</w:t>
      </w:r>
    </w:p>
    <w:p w14:paraId="7E954884">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联系地址：北京市海淀区圆明园西路二号院</w:t>
      </w:r>
    </w:p>
    <w:p w14:paraId="400BE85D">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邮政编码：1</w:t>
      </w:r>
      <w:r>
        <w:rPr>
          <w:rFonts w:ascii="Times New Roman" w:hAnsi="Times New Roman" w:eastAsia="仿宋_GB2312" w:cs="Times New Roman"/>
          <w:color w:val="000000" w:themeColor="text1"/>
          <w:sz w:val="28"/>
          <w:szCs w:val="28"/>
          <w14:textFill>
            <w14:solidFill>
              <w14:schemeClr w14:val="tx1"/>
            </w14:solidFill>
          </w14:textFill>
        </w:rPr>
        <w:t>00193</w:t>
      </w:r>
    </w:p>
    <w:p w14:paraId="23DE0DBB">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联系人：刘鹏飞、黄中乔</w:t>
      </w:r>
    </w:p>
    <w:p w14:paraId="18C17F86">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联系电话：</w:t>
      </w:r>
      <w:r>
        <w:rPr>
          <w:rFonts w:ascii="Times New Roman" w:hAnsi="Times New Roman" w:eastAsia="仿宋_GB2312" w:cs="Times New Roman"/>
          <w:color w:val="000000" w:themeColor="text1"/>
          <w:sz w:val="28"/>
          <w:szCs w:val="28"/>
          <w14:textFill>
            <w14:solidFill>
              <w14:schemeClr w14:val="tx1"/>
            </w14:solidFill>
          </w14:textFill>
        </w:rPr>
        <w:t>13621368507</w:t>
      </w:r>
      <w:r>
        <w:rPr>
          <w:rFonts w:hint="eastAsia" w:ascii="Times New Roman" w:hAnsi="Times New Roman" w:eastAsia="仿宋_GB2312" w:cs="Times New Roman"/>
          <w:color w:val="000000" w:themeColor="text1"/>
          <w:sz w:val="28"/>
          <w:szCs w:val="28"/>
          <w14:textFill>
            <w14:solidFill>
              <w14:schemeClr w14:val="tx1"/>
            </w14:solidFill>
          </w14:textFill>
        </w:rPr>
        <w:t>，0</w:t>
      </w:r>
      <w:r>
        <w:rPr>
          <w:rFonts w:ascii="Times New Roman" w:hAnsi="Times New Roman" w:eastAsia="仿宋_GB2312" w:cs="Times New Roman"/>
          <w:color w:val="000000" w:themeColor="text1"/>
          <w:sz w:val="28"/>
          <w:szCs w:val="28"/>
          <w14:textFill>
            <w14:solidFill>
              <w14:schemeClr w14:val="tx1"/>
            </w14:solidFill>
          </w14:textFill>
        </w:rPr>
        <w:t>10</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62731226</w:t>
      </w:r>
    </w:p>
    <w:p w14:paraId="5246012F">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电子邮箱：pengfeiliu@cau.edu.cn</w:t>
      </w:r>
    </w:p>
    <w:p w14:paraId="709E0939">
      <w:pPr>
        <w:pStyle w:val="14"/>
        <w:numPr>
          <w:ilvl w:val="0"/>
          <w:numId w:val="1"/>
        </w:numPr>
        <w:adjustRightInd w:val="0"/>
        <w:snapToGrid w:val="0"/>
        <w:spacing w:line="600" w:lineRule="exact"/>
        <w:ind w:firstLineChars="0"/>
        <w:rPr>
          <w:rFonts w:ascii="Times New Roman" w:hAnsi="Times New Roman" w:eastAsia="仿宋_GB2312" w:cs="Times New Roman"/>
          <w:b/>
          <w:color w:val="000000" w:themeColor="text1"/>
          <w:sz w:val="28"/>
          <w:szCs w:val="28"/>
          <w14:textFill>
            <w14:solidFill>
              <w14:schemeClr w14:val="tx1"/>
            </w14:solidFill>
          </w14:textFill>
        </w:rPr>
      </w:pPr>
      <w:r>
        <w:rPr>
          <w:rFonts w:hint="eastAsia" w:ascii="Times New Roman" w:hAnsi="Times New Roman" w:eastAsia="仿宋_GB2312" w:cs="Times New Roman"/>
          <w:b/>
          <w:color w:val="000000" w:themeColor="text1"/>
          <w:sz w:val="28"/>
          <w:szCs w:val="28"/>
          <w14:textFill>
            <w14:solidFill>
              <w14:schemeClr w14:val="tx1"/>
            </w14:solidFill>
          </w14:textFill>
        </w:rPr>
        <w:t>先正达（中国）投资有限公司</w:t>
      </w:r>
      <w:r>
        <w:rPr>
          <w:rFonts w:ascii="Times New Roman" w:hAnsi="Times New Roman" w:eastAsia="仿宋_GB2312" w:cs="Times New Roman"/>
          <w:b/>
          <w:color w:val="000000" w:themeColor="text1"/>
          <w:sz w:val="28"/>
          <w:szCs w:val="28"/>
          <w14:textFill>
            <w14:solidFill>
              <w14:schemeClr w14:val="tx1"/>
            </w14:solidFill>
          </w14:textFill>
        </w:rPr>
        <w:t xml:space="preserve"> </w:t>
      </w:r>
    </w:p>
    <w:p w14:paraId="79D4B3A8">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联系地址：</w:t>
      </w:r>
      <w:r>
        <w:rPr>
          <w:rFonts w:ascii="Times New Roman" w:hAnsi="Times New Roman" w:eastAsia="仿宋_GB2312" w:cs="Times New Roman"/>
          <w:color w:val="000000" w:themeColor="text1"/>
          <w:sz w:val="28"/>
          <w:szCs w:val="28"/>
          <w14:textFill>
            <w14:solidFill>
              <w14:schemeClr w14:val="tx1"/>
            </w14:solidFill>
          </w14:textFill>
        </w:rPr>
        <w:t>中国（上海）自由贸易试验区博成路567号</w:t>
      </w:r>
    </w:p>
    <w:p w14:paraId="6FFD4038">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邮政编码：</w:t>
      </w:r>
      <w:r>
        <w:rPr>
          <w:rFonts w:ascii="Times New Roman" w:hAnsi="Times New Roman" w:eastAsia="仿宋_GB2312" w:cs="Times New Roman"/>
          <w:color w:val="000000" w:themeColor="text1"/>
          <w:sz w:val="28"/>
          <w:szCs w:val="28"/>
          <w14:textFill>
            <w14:solidFill>
              <w14:schemeClr w14:val="tx1"/>
            </w14:solidFill>
          </w14:textFill>
        </w:rPr>
        <w:t>200120</w:t>
      </w:r>
    </w:p>
    <w:p w14:paraId="61959EDA">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 系 人：营金凤</w:t>
      </w:r>
    </w:p>
    <w:p w14:paraId="43FBEA6F">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联系电话：</w:t>
      </w:r>
      <w:r>
        <w:rPr>
          <w:rFonts w:ascii="Times New Roman" w:hAnsi="Times New Roman" w:eastAsia="仿宋_GB2312" w:cs="Times New Roman"/>
          <w:color w:val="000000" w:themeColor="text1"/>
          <w:sz w:val="28"/>
          <w:szCs w:val="28"/>
          <w14:textFill>
            <w14:solidFill>
              <w14:schemeClr w14:val="tx1"/>
            </w14:solidFill>
          </w14:textFill>
        </w:rPr>
        <w:t>15385510321</w:t>
      </w:r>
    </w:p>
    <w:p w14:paraId="325D8AFA">
      <w:pPr>
        <w:adjustRightInd w:val="0"/>
        <w:snapToGrid w:val="0"/>
        <w:spacing w:line="60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电子邮箱：</w:t>
      </w:r>
      <w:r>
        <w:rPr>
          <w:rFonts w:ascii="Times New Roman" w:hAnsi="Times New Roman" w:eastAsia="仿宋_GB2312" w:cs="Times New Roman"/>
          <w:color w:val="000000" w:themeColor="text1"/>
          <w:sz w:val="28"/>
          <w:szCs w:val="28"/>
          <w14:textFill>
            <w14:solidFill>
              <w14:schemeClr w14:val="tx1"/>
            </w14:solidFill>
          </w14:textFill>
        </w:rPr>
        <w:t>Jinfeng.Ying@syngentagroup.cn</w:t>
      </w:r>
    </w:p>
    <w:p w14:paraId="49A96CD1">
      <w:pPr>
        <w:adjustRightInd w:val="0"/>
        <w:snapToGrid w:val="0"/>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p>
    <w:p w14:paraId="6C906A3A">
      <w:pPr>
        <w:adjustRightInd w:val="0"/>
        <w:snapToGrid w:val="0"/>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8292654"/>
    </w:sdtPr>
    <w:sdtEndPr>
      <w:rPr>
        <w:rFonts w:ascii="Times New Roman" w:hAnsi="Times New Roman" w:cs="Times New Roman"/>
      </w:rPr>
    </w:sdtEndPr>
    <w:sdtContent>
      <w:p w14:paraId="02C2FB85">
        <w:pPr>
          <w:pStyle w:val="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6</w:t>
        </w:r>
        <w:r>
          <w:rPr>
            <w:rFonts w:ascii="Times New Roman" w:hAnsi="Times New Roman" w:cs="Times New Roman"/>
          </w:rPr>
          <w:fldChar w:fldCharType="end"/>
        </w:r>
      </w:p>
    </w:sdtContent>
  </w:sdt>
  <w:p w14:paraId="0D37C329">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8954BF"/>
    <w:multiLevelType w:val="multilevel"/>
    <w:tmpl w:val="588954BF"/>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iMmY4OGU1ZDljNjVjOThiZjA2ZWVhMzcwOTBiZDcifQ=="/>
  </w:docVars>
  <w:rsids>
    <w:rsidRoot w:val="47307FD9"/>
    <w:rsid w:val="00010520"/>
    <w:rsid w:val="00036F69"/>
    <w:rsid w:val="000518FB"/>
    <w:rsid w:val="00075005"/>
    <w:rsid w:val="000C1480"/>
    <w:rsid w:val="000C3C04"/>
    <w:rsid w:val="001038A4"/>
    <w:rsid w:val="0010625A"/>
    <w:rsid w:val="0011359A"/>
    <w:rsid w:val="00114723"/>
    <w:rsid w:val="00161688"/>
    <w:rsid w:val="0017105A"/>
    <w:rsid w:val="00196EAB"/>
    <w:rsid w:val="001B3074"/>
    <w:rsid w:val="001F27F2"/>
    <w:rsid w:val="001F62D5"/>
    <w:rsid w:val="0021585C"/>
    <w:rsid w:val="0029790C"/>
    <w:rsid w:val="002B2CEF"/>
    <w:rsid w:val="002E004B"/>
    <w:rsid w:val="002E4FB8"/>
    <w:rsid w:val="002E7234"/>
    <w:rsid w:val="00322287"/>
    <w:rsid w:val="0032529E"/>
    <w:rsid w:val="00326FDE"/>
    <w:rsid w:val="00331671"/>
    <w:rsid w:val="003431F9"/>
    <w:rsid w:val="0034330B"/>
    <w:rsid w:val="003471D1"/>
    <w:rsid w:val="00382CCA"/>
    <w:rsid w:val="003972CD"/>
    <w:rsid w:val="003A17DB"/>
    <w:rsid w:val="003C733B"/>
    <w:rsid w:val="0040061F"/>
    <w:rsid w:val="00401C46"/>
    <w:rsid w:val="004437F6"/>
    <w:rsid w:val="0047267A"/>
    <w:rsid w:val="00476594"/>
    <w:rsid w:val="004A2211"/>
    <w:rsid w:val="004C2527"/>
    <w:rsid w:val="00506CDE"/>
    <w:rsid w:val="00511D15"/>
    <w:rsid w:val="00530AA1"/>
    <w:rsid w:val="0053433C"/>
    <w:rsid w:val="00552594"/>
    <w:rsid w:val="00552D14"/>
    <w:rsid w:val="00607D41"/>
    <w:rsid w:val="00633E6F"/>
    <w:rsid w:val="00657F2D"/>
    <w:rsid w:val="00676D7E"/>
    <w:rsid w:val="0068749F"/>
    <w:rsid w:val="00690463"/>
    <w:rsid w:val="006B7945"/>
    <w:rsid w:val="006E07C7"/>
    <w:rsid w:val="006E7A91"/>
    <w:rsid w:val="006F68FC"/>
    <w:rsid w:val="00725F21"/>
    <w:rsid w:val="007272C4"/>
    <w:rsid w:val="00752EDE"/>
    <w:rsid w:val="00757819"/>
    <w:rsid w:val="00770433"/>
    <w:rsid w:val="00772A38"/>
    <w:rsid w:val="0079113F"/>
    <w:rsid w:val="00794562"/>
    <w:rsid w:val="007B770A"/>
    <w:rsid w:val="007C0D49"/>
    <w:rsid w:val="007D4CA0"/>
    <w:rsid w:val="007D5A56"/>
    <w:rsid w:val="00803774"/>
    <w:rsid w:val="008312D9"/>
    <w:rsid w:val="00841D88"/>
    <w:rsid w:val="00851F1A"/>
    <w:rsid w:val="00867467"/>
    <w:rsid w:val="00881E31"/>
    <w:rsid w:val="0088445F"/>
    <w:rsid w:val="00896D58"/>
    <w:rsid w:val="008B4138"/>
    <w:rsid w:val="009243AB"/>
    <w:rsid w:val="00930C63"/>
    <w:rsid w:val="009462C4"/>
    <w:rsid w:val="00951A44"/>
    <w:rsid w:val="00960C8F"/>
    <w:rsid w:val="00974FC4"/>
    <w:rsid w:val="00983B7D"/>
    <w:rsid w:val="00997D73"/>
    <w:rsid w:val="009A4DB0"/>
    <w:rsid w:val="009A6096"/>
    <w:rsid w:val="009B5AF6"/>
    <w:rsid w:val="00A30F4C"/>
    <w:rsid w:val="00A736BC"/>
    <w:rsid w:val="00A73D4B"/>
    <w:rsid w:val="00A92DC1"/>
    <w:rsid w:val="00A9316C"/>
    <w:rsid w:val="00AA685C"/>
    <w:rsid w:val="00AB0171"/>
    <w:rsid w:val="00AB01B8"/>
    <w:rsid w:val="00AC117E"/>
    <w:rsid w:val="00AD7084"/>
    <w:rsid w:val="00B02162"/>
    <w:rsid w:val="00B1089F"/>
    <w:rsid w:val="00B3124C"/>
    <w:rsid w:val="00B45BAE"/>
    <w:rsid w:val="00B53917"/>
    <w:rsid w:val="00B65F50"/>
    <w:rsid w:val="00B9309A"/>
    <w:rsid w:val="00BB6EEA"/>
    <w:rsid w:val="00BD07F1"/>
    <w:rsid w:val="00BD7AD3"/>
    <w:rsid w:val="00BE530E"/>
    <w:rsid w:val="00BE7B9B"/>
    <w:rsid w:val="00BF20C3"/>
    <w:rsid w:val="00C131EE"/>
    <w:rsid w:val="00C33B0A"/>
    <w:rsid w:val="00C371E3"/>
    <w:rsid w:val="00C5236A"/>
    <w:rsid w:val="00C61014"/>
    <w:rsid w:val="00C62775"/>
    <w:rsid w:val="00C77712"/>
    <w:rsid w:val="00C8713F"/>
    <w:rsid w:val="00C9407D"/>
    <w:rsid w:val="00CA358A"/>
    <w:rsid w:val="00CC423D"/>
    <w:rsid w:val="00CE2783"/>
    <w:rsid w:val="00CE716B"/>
    <w:rsid w:val="00D17EB7"/>
    <w:rsid w:val="00D2187A"/>
    <w:rsid w:val="00D36071"/>
    <w:rsid w:val="00D53619"/>
    <w:rsid w:val="00D706ED"/>
    <w:rsid w:val="00D7543F"/>
    <w:rsid w:val="00D861B8"/>
    <w:rsid w:val="00DA37E5"/>
    <w:rsid w:val="00DA5D44"/>
    <w:rsid w:val="00DA63BC"/>
    <w:rsid w:val="00DD7D68"/>
    <w:rsid w:val="00DE36D6"/>
    <w:rsid w:val="00E03DFC"/>
    <w:rsid w:val="00E44FFE"/>
    <w:rsid w:val="00E46BC4"/>
    <w:rsid w:val="00E61897"/>
    <w:rsid w:val="00E61AD6"/>
    <w:rsid w:val="00E80916"/>
    <w:rsid w:val="00E92346"/>
    <w:rsid w:val="00E9257E"/>
    <w:rsid w:val="00E94C12"/>
    <w:rsid w:val="00EB0F85"/>
    <w:rsid w:val="00EC2ADF"/>
    <w:rsid w:val="00ED2ACF"/>
    <w:rsid w:val="00EE5D27"/>
    <w:rsid w:val="00EE6D27"/>
    <w:rsid w:val="00EF5F84"/>
    <w:rsid w:val="00F324B1"/>
    <w:rsid w:val="00F335A9"/>
    <w:rsid w:val="00F426A4"/>
    <w:rsid w:val="00F46D2A"/>
    <w:rsid w:val="00F51673"/>
    <w:rsid w:val="00F66D85"/>
    <w:rsid w:val="00F70620"/>
    <w:rsid w:val="00F75A7D"/>
    <w:rsid w:val="00F75B46"/>
    <w:rsid w:val="00F8170A"/>
    <w:rsid w:val="00F85CD3"/>
    <w:rsid w:val="00F929FF"/>
    <w:rsid w:val="00FA0E97"/>
    <w:rsid w:val="00FA405B"/>
    <w:rsid w:val="00FA506F"/>
    <w:rsid w:val="00FB568F"/>
    <w:rsid w:val="00FC4750"/>
    <w:rsid w:val="00FD781B"/>
    <w:rsid w:val="00FE5DE9"/>
    <w:rsid w:val="2B5635A2"/>
    <w:rsid w:val="47307FD9"/>
    <w:rsid w:val="4D357738"/>
    <w:rsid w:val="75321A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0"/>
    <w:pPr>
      <w:jc w:val="left"/>
    </w:pPr>
  </w:style>
  <w:style w:type="paragraph" w:styleId="3">
    <w:name w:val="Balloon Text"/>
    <w:basedOn w:val="1"/>
    <w:link w:val="15"/>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link w:val="13"/>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uiPriority w:val="0"/>
    <w:rPr>
      <w:b/>
      <w:bCs/>
    </w:r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unhideWhenUsed/>
    <w:uiPriority w:val="99"/>
    <w:rPr>
      <w:color w:val="0026E5" w:themeColor="hyperlink"/>
      <w:u w:val="single"/>
      <w14:textFill>
        <w14:solidFill>
          <w14:schemeClr w14:val="hlink"/>
        </w14:solidFill>
      </w14:textFill>
    </w:rPr>
  </w:style>
  <w:style w:type="character" w:styleId="12">
    <w:name w:val="annotation reference"/>
    <w:basedOn w:val="8"/>
    <w:semiHidden/>
    <w:unhideWhenUsed/>
    <w:uiPriority w:val="0"/>
    <w:rPr>
      <w:sz w:val="21"/>
      <w:szCs w:val="21"/>
    </w:rPr>
  </w:style>
  <w:style w:type="character" w:customStyle="1" w:styleId="13">
    <w:name w:val="页眉 字符"/>
    <w:basedOn w:val="8"/>
    <w:link w:val="5"/>
    <w:uiPriority w:val="0"/>
    <w:rPr>
      <w:kern w:val="2"/>
      <w:sz w:val="18"/>
      <w:szCs w:val="18"/>
    </w:rPr>
  </w:style>
  <w:style w:type="paragraph" w:styleId="14">
    <w:name w:val="List Paragraph"/>
    <w:basedOn w:val="1"/>
    <w:uiPriority w:val="99"/>
    <w:pPr>
      <w:ind w:firstLine="420" w:firstLineChars="200"/>
    </w:pPr>
  </w:style>
  <w:style w:type="character" w:customStyle="1" w:styleId="15">
    <w:name w:val="批注框文本 字符"/>
    <w:basedOn w:val="8"/>
    <w:link w:val="3"/>
    <w:qFormat/>
    <w:uiPriority w:val="0"/>
    <w:rPr>
      <w:kern w:val="2"/>
      <w:sz w:val="18"/>
      <w:szCs w:val="18"/>
    </w:rPr>
  </w:style>
  <w:style w:type="character" w:customStyle="1" w:styleId="16">
    <w:name w:val="Unresolved Mention"/>
    <w:basedOn w:val="8"/>
    <w:semiHidden/>
    <w:unhideWhenUsed/>
    <w:uiPriority w:val="99"/>
    <w:rPr>
      <w:color w:val="605E5C"/>
      <w:shd w:val="clear" w:color="auto" w:fill="E1DFDD"/>
    </w:rPr>
  </w:style>
  <w:style w:type="paragraph" w:customStyle="1" w:styleId="17">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8">
    <w:name w:val="批注文字 字符"/>
    <w:basedOn w:val="8"/>
    <w:link w:val="2"/>
    <w:semiHidden/>
    <w:uiPriority w:val="0"/>
    <w:rPr>
      <w:kern w:val="2"/>
      <w:sz w:val="21"/>
      <w:szCs w:val="22"/>
    </w:rPr>
  </w:style>
  <w:style w:type="character" w:customStyle="1" w:styleId="19">
    <w:name w:val="批注主题 字符"/>
    <w:basedOn w:val="18"/>
    <w:link w:val="6"/>
    <w:semiHidden/>
    <w:uiPriority w:val="0"/>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2855</Words>
  <Characters>3224</Characters>
  <Lines>23</Lines>
  <Paragraphs>6</Paragraphs>
  <TotalTime>14</TotalTime>
  <ScaleCrop>false</ScaleCrop>
  <LinksUpToDate>false</LinksUpToDate>
  <CharactersWithSpaces>3248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2024-11-11T08:56:00Z</dcterms:created>
  <dc:creator>汪妍</dc:creator>
  <cp:lastModifiedBy>忙里偷闲</cp:lastModifiedBy>
  <dcterms:modified xsi:type="dcterms:W3CDTF">2024-12-31T01:07:28Z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CF087228548F4B62B9ECBFE78F93304A_13</vt:lpwstr>
  </property>
</Properties>
</file>