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63411B">
      <w:pPr>
        <w:adjustRightInd w:val="0"/>
        <w:snapToGrid w:val="0"/>
        <w:spacing w:beforeLines="100" w:afterLines="100" w:line="560" w:lineRule="atLeast"/>
        <w:ind w:firstLine="880" w:firstLineChars="200"/>
        <w:jc w:val="center"/>
        <w:rPr>
          <w:rFonts w:hint="eastAsia" w:ascii="方正小标宋简体" w:hAnsi="Times New Roman" w:eastAsia="方正小标宋简体"/>
          <w:bCs/>
          <w:color w:val="auto"/>
          <w:sz w:val="44"/>
          <w:szCs w:val="44"/>
          <w:lang w:val="en-US" w:eastAsia="zh-CN"/>
        </w:rPr>
      </w:pPr>
    </w:p>
    <w:p w14:paraId="631C45A4">
      <w:pPr>
        <w:adjustRightInd w:val="0"/>
        <w:snapToGrid w:val="0"/>
        <w:spacing w:beforeLines="100" w:afterLines="100" w:line="560" w:lineRule="atLeast"/>
        <w:ind w:firstLine="880" w:firstLineChars="200"/>
        <w:jc w:val="center"/>
        <w:rPr>
          <w:rFonts w:ascii="方正小标宋简体" w:hAnsi="Times New Roman" w:eastAsia="方正小标宋简体"/>
          <w:bCs/>
          <w:color w:val="auto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Times New Roman" w:eastAsia="方正小标宋简体"/>
          <w:bCs/>
          <w:color w:val="auto"/>
          <w:sz w:val="44"/>
          <w:szCs w:val="44"/>
          <w:lang w:val="en-US" w:eastAsia="zh-CN"/>
        </w:rPr>
        <w:t>10.</w:t>
      </w:r>
      <w:r>
        <w:rPr>
          <w:rFonts w:hint="eastAsia" w:ascii="方正小标宋简体" w:hAnsi="Times New Roman" w:eastAsia="方正小标宋简体"/>
          <w:bCs/>
          <w:color w:val="auto"/>
          <w:sz w:val="44"/>
          <w:szCs w:val="44"/>
        </w:rPr>
        <w:t>陕西油菜机械化绿色高效种植技术</w:t>
      </w:r>
    </w:p>
    <w:p w14:paraId="3326EA4D">
      <w:pPr>
        <w:adjustRightInd w:val="0"/>
        <w:snapToGrid w:val="0"/>
        <w:spacing w:line="640" w:lineRule="exact"/>
        <w:ind w:firstLine="640" w:firstLineChars="200"/>
        <w:rPr>
          <w:rFonts w:ascii="Times New Roman" w:hAnsi="Times New Roman" w:eastAsia="黑体"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bCs/>
          <w:color w:val="000000"/>
          <w:sz w:val="32"/>
          <w:szCs w:val="32"/>
        </w:rPr>
        <w:t>一、技术概述</w:t>
      </w:r>
    </w:p>
    <w:p w14:paraId="261B7DCD">
      <w:pPr>
        <w:snapToGrid w:val="0"/>
        <w:spacing w:line="540" w:lineRule="exact"/>
        <w:ind w:firstLine="643" w:firstLineChars="200"/>
        <w:rPr>
          <w:rFonts w:hint="eastAsia" w:ascii="楷体" w:hAnsi="楷体" w:eastAsia="楷体"/>
          <w:b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楷体"/>
          <w:b/>
          <w:color w:val="auto"/>
          <w:sz w:val="32"/>
          <w:szCs w:val="32"/>
        </w:rPr>
        <w:t>（</w:t>
      </w:r>
      <w:r>
        <w:rPr>
          <w:rFonts w:hint="eastAsia" w:ascii="楷体" w:hAnsi="楷体" w:eastAsia="楷体"/>
          <w:b/>
          <w:bCs/>
          <w:color w:val="000000"/>
          <w:sz w:val="32"/>
          <w:szCs w:val="32"/>
        </w:rPr>
        <w:t>一）基本情况</w:t>
      </w:r>
    </w:p>
    <w:p w14:paraId="7B5334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 w:eastAsia="仿宋_GB2312"/>
          <w:sz w:val="28"/>
          <w:szCs w:val="28"/>
          <w:lang w:eastAsia="zh-CN"/>
        </w:rPr>
        <w:t>针对传统油菜种植采用人工播种、育苗移栽、人工收获费工费劳，种植效益低，施肥用药不科学，影响环境安全的问题，通过选用适宜品种、适宜机械、适期适量播种、一播定苗、开沟排湿、合理施肥、病虫害绿色高效防控、机械收获等技术的集成应用，大幅减少生产用工，提高肥药等资源利用效率，减少农业面源污染，提高生产收益。</w:t>
      </w:r>
    </w:p>
    <w:p w14:paraId="5BE8E915">
      <w:pPr>
        <w:snapToGrid w:val="0"/>
        <w:spacing w:line="640" w:lineRule="exact"/>
        <w:ind w:firstLine="643" w:firstLineChars="200"/>
        <w:rPr>
          <w:rFonts w:ascii="Times New Roman" w:hAnsi="Times New Roman" w:eastAsia="楷体"/>
          <w:b/>
          <w:color w:val="auto"/>
          <w:sz w:val="32"/>
          <w:szCs w:val="32"/>
        </w:rPr>
      </w:pPr>
      <w:r>
        <w:rPr>
          <w:rFonts w:hint="eastAsia" w:ascii="Times New Roman" w:hAnsi="Times New Roman" w:eastAsia="楷体"/>
          <w:b/>
          <w:color w:val="auto"/>
          <w:sz w:val="32"/>
          <w:szCs w:val="32"/>
        </w:rPr>
        <w:t>（二）</w:t>
      </w:r>
      <w:r>
        <w:rPr>
          <w:rFonts w:hint="eastAsia" w:ascii="楷体" w:hAnsi="楷体" w:eastAsia="楷体"/>
          <w:b/>
          <w:bCs/>
          <w:color w:val="000000"/>
          <w:sz w:val="32"/>
          <w:szCs w:val="32"/>
        </w:rPr>
        <w:t>技术</w:t>
      </w:r>
      <w:r>
        <w:rPr>
          <w:rFonts w:hint="eastAsia" w:ascii="Times New Roman" w:hAnsi="Times New Roman" w:eastAsia="楷体"/>
          <w:b/>
          <w:color w:val="auto"/>
          <w:sz w:val="32"/>
          <w:szCs w:val="32"/>
        </w:rPr>
        <w:t>示范推广情况</w:t>
      </w:r>
    </w:p>
    <w:p w14:paraId="7CB1BC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“陕西油菜机械化绿色高效种植技术”已经过多年示范推广，2018-202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" w:eastAsia="zh-CN"/>
        </w:rPr>
        <w:t>3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年，在汉中、安康、宝鸡、咸阳、西安、渭南等地进行示范推广，获得良好效果。陕南地区一般亩产190kg以上。2017年经省农业厅组织测产，勉县老道寺镇推广示范田创造了我省油菜机械直播高产记录：百亩连片亩产达到250.8kg。关中地区一般亩产2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" w:eastAsia="zh-CN"/>
        </w:rPr>
        <w:t>5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0kg以上，2020年经省油菜产业体系组织专家测产，岐山县范家塬村全程机械化示范田现场实收2.69亩，平均亩产307.2kg。目前该技术正在陕西油菜主产区大面积推广应用。</w:t>
      </w:r>
    </w:p>
    <w:p w14:paraId="1F8D94B7">
      <w:pPr>
        <w:snapToGrid w:val="0"/>
        <w:spacing w:line="640" w:lineRule="exact"/>
        <w:ind w:firstLine="643" w:firstLineChars="200"/>
        <w:rPr>
          <w:rFonts w:hint="eastAsia" w:ascii="楷体" w:hAnsi="楷体" w:eastAsia="楷体"/>
          <w:b/>
          <w:bCs/>
          <w:color w:val="000000"/>
          <w:sz w:val="32"/>
          <w:szCs w:val="32"/>
        </w:rPr>
      </w:pPr>
      <w:r>
        <w:rPr>
          <w:rFonts w:hint="eastAsia" w:ascii="楷体" w:hAnsi="楷体" w:eastAsia="楷体"/>
          <w:b/>
          <w:bCs/>
          <w:color w:val="000000"/>
          <w:sz w:val="32"/>
          <w:szCs w:val="32"/>
        </w:rPr>
        <w:t>（三）提质增效情况</w:t>
      </w:r>
    </w:p>
    <w:p w14:paraId="5DDF07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和传统种植相比，应用该技术亩增产油菜籽12%以上，减肥、减药量20%以上，节约劳动用工</w:t>
      </w:r>
      <w:r>
        <w:rPr>
          <w:rFonts w:hint="default" w:ascii="CESI仿宋-GB2312" w:hAnsi="CESI仿宋-GB2312" w:eastAsia="CESI仿宋-GB2312" w:cs="CESI仿宋-GB2312"/>
          <w:sz w:val="28"/>
          <w:szCs w:val="28"/>
          <w:lang w:val="en" w:eastAsia="zh-CN"/>
        </w:rPr>
        <w:t>6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～</w:t>
      </w:r>
      <w:r>
        <w:rPr>
          <w:rFonts w:hint="default" w:ascii="CESI仿宋-GB2312" w:hAnsi="CESI仿宋-GB2312" w:eastAsia="CESI仿宋-GB2312" w:cs="CESI仿宋-GB2312"/>
          <w:sz w:val="28"/>
          <w:szCs w:val="28"/>
          <w:lang w:val="en" w:eastAsia="zh-CN"/>
        </w:rPr>
        <w:t>8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个/亩，亩节本增收400元以上，结合油菜花观光发展乡村旅游，带动农民收入增加。同时减肥减药技术对于减少农残污染，保障南水北调水源安全意义深远。通过减少劳动用工，稳定了陕南油菜面积，为防阻小麦条锈病流行发挥了重要积极作用。关中地区油菜小麦轮作种植，在防治麦田杂草、减轻小麦病害、增加土壤肥力方面效果显著。</w:t>
      </w:r>
    </w:p>
    <w:p w14:paraId="33823CBB">
      <w:pPr>
        <w:snapToGrid w:val="0"/>
        <w:spacing w:line="640" w:lineRule="exact"/>
        <w:ind w:firstLine="643" w:firstLineChars="200"/>
        <w:rPr>
          <w:rFonts w:hint="eastAsia" w:ascii="楷体" w:hAnsi="楷体" w:eastAsia="楷体"/>
          <w:b/>
          <w:bCs/>
          <w:color w:val="000000"/>
          <w:sz w:val="32"/>
          <w:szCs w:val="32"/>
        </w:rPr>
      </w:pPr>
      <w:r>
        <w:rPr>
          <w:rFonts w:hint="eastAsia" w:ascii="楷体" w:hAnsi="楷体" w:eastAsia="楷体"/>
          <w:b/>
          <w:bCs/>
          <w:color w:val="000000"/>
          <w:sz w:val="32"/>
          <w:szCs w:val="32"/>
        </w:rPr>
        <w:t>（四）获奖情况</w:t>
      </w:r>
    </w:p>
    <w:p w14:paraId="14CFB8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未申报科技奖励。</w:t>
      </w:r>
    </w:p>
    <w:p w14:paraId="31B4FB79">
      <w:pPr>
        <w:adjustRightInd w:val="0"/>
        <w:snapToGrid w:val="0"/>
        <w:spacing w:line="640" w:lineRule="exact"/>
        <w:ind w:firstLine="640" w:firstLineChars="200"/>
        <w:rPr>
          <w:rFonts w:ascii="Times New Roman" w:hAnsi="Times New Roman" w:eastAsia="黑体"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bCs/>
          <w:color w:val="000000"/>
          <w:sz w:val="32"/>
          <w:szCs w:val="32"/>
        </w:rPr>
        <w:t>二、技术要点</w:t>
      </w:r>
    </w:p>
    <w:p w14:paraId="2641CFE2">
      <w:pPr>
        <w:snapToGrid w:val="0"/>
        <w:spacing w:line="640" w:lineRule="exact"/>
        <w:ind w:firstLine="643" w:firstLineChars="200"/>
        <w:rPr>
          <w:rFonts w:hint="eastAsia" w:ascii="楷体" w:hAnsi="楷体" w:eastAsia="楷体"/>
          <w:b/>
          <w:bCs/>
          <w:color w:val="000000"/>
          <w:sz w:val="32"/>
          <w:szCs w:val="32"/>
        </w:rPr>
      </w:pPr>
      <w:r>
        <w:rPr>
          <w:rFonts w:hint="eastAsia" w:ascii="楷体" w:hAnsi="楷体" w:eastAsia="楷体"/>
          <w:b/>
          <w:bCs/>
          <w:color w:val="000000"/>
          <w:sz w:val="32"/>
          <w:szCs w:val="32"/>
        </w:rPr>
        <w:t>（一）陕南地区技术要点</w:t>
      </w:r>
    </w:p>
    <w:p w14:paraId="6439D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1.选择适宜机收品种</w:t>
      </w:r>
      <w:r>
        <w:rPr>
          <w:rFonts w:hint="eastAsia" w:ascii="仿宋_GB2312" w:hAnsi="Times New Roman" w:eastAsia="仿宋_GB2312"/>
          <w:b/>
          <w:bCs/>
          <w:color w:val="auto"/>
          <w:sz w:val="32"/>
          <w:szCs w:val="32"/>
        </w:rPr>
        <w:t>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选用分枝集中、抗倒、抗裂荚、高产、生育期较为适宜、适应性强的品种。如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邡油777、秦优1618、秦优797、陕油28、秦优28、中杂油19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等。</w:t>
      </w:r>
    </w:p>
    <w:p w14:paraId="5C38060B">
      <w:pPr>
        <w:spacing w:line="560" w:lineRule="exact"/>
        <w:ind w:firstLine="0" w:firstLineChars="0"/>
        <w:jc w:val="center"/>
        <w:rPr>
          <w:rFonts w:hint="eastAsia" w:ascii="仿宋_GB2312" w:hAnsi="宋体" w:eastAsia="仿宋_GB2312"/>
          <w:b/>
          <w:sz w:val="28"/>
          <w:szCs w:val="28"/>
        </w:rPr>
      </w:pPr>
      <w:r>
        <w:rPr>
          <w:rFonts w:hint="eastAsia" w:ascii="仿宋_GB2312" w:hAnsi="宋体" w:eastAsia="仿宋_GB2312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298450</wp:posOffset>
            </wp:positionV>
            <wp:extent cx="4441825" cy="2251075"/>
            <wp:effectExtent l="19050" t="0" r="0" b="0"/>
            <wp:wrapTopAndBottom/>
            <wp:docPr id="1" name="图片 1" descr="E:\产业体系\2021\主推技术\油菜机械化精量直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产业体系\2021\主推技术\油菜机械化精量直播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794" b="22059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b/>
          <w:sz w:val="28"/>
          <w:szCs w:val="28"/>
        </w:rPr>
        <w:t>图1  油菜机械化精量直播</w:t>
      </w:r>
    </w:p>
    <w:p w14:paraId="41B41A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2.机械播种：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一般选用复式联合精量播种机（图1），一次完成施肥、旋耕、开沟、播种作业；也可撒施基肥后，机械浅旋开沟，然后人工撒播；地湿多雨田块，可免耕播种，先将油菜种子和肥料撒播田面，再开排水沟，将沟内土壤均匀撒于田面。</w:t>
      </w:r>
    </w:p>
    <w:p w14:paraId="5B0FF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hint="default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3.开沟排水：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开好三沟（厢沟、腰沟和边沟），沟宽0.2～0.3m，深0.2～0.25m，且三沟相通，一般厢面宽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1.6～1.8m。</w:t>
      </w:r>
    </w:p>
    <w:p w14:paraId="677AD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4.选择适宜播期播量：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高产播期为9月下旬，亩播种量200～300g，亩成苗3万株/亩左右；若因天气、茬口等因素造成播期推迟（10月5日后），可增加播种量至300-350g，亩留苗密度增加到3.5万株。</w:t>
      </w:r>
    </w:p>
    <w:p w14:paraId="09581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5.高效施肥：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首选油菜缓释专用肥（N-P-K=20-8-12），亩用50～60kg，整地播种时一次施入。若常规施肥，亩施纯氮10～12kg，五氧化二磷5～6kg、氧化钾6～7kg、硼砂1kg，磷、钾、硼肥作底肥一次施入，氮肥按基肥：腊肥：薹肥=6:3:1（0），腊肥施用时间1月20日左右，薹肥看苗追，初花期亩叶面喷施磷酸二氢钾300g。</w:t>
      </w:r>
    </w:p>
    <w:p w14:paraId="1EE9F8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6. 病虫草害绿色防控：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播后24小时内亩用50%乙草胺60～100毫升封闭除草；苗期杂草较多的田块于油菜5～6叶期用50克精喹禾灵（5%乳油）+50克草除灵（50%悬浮剂）进行二次化除。油菜初花期用无人机或大型机械喷雾防治菌核病，可选用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氟唑菌酰羟胺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、咪鲜胺等。（图2）</w:t>
      </w:r>
    </w:p>
    <w:p w14:paraId="4A17F879">
      <w:pPr>
        <w:spacing w:line="560" w:lineRule="exact"/>
        <w:ind w:firstLine="0" w:firstLineChars="0"/>
        <w:jc w:val="center"/>
        <w:rPr>
          <w:rFonts w:hint="eastAsia" w:ascii="仿宋_GB2312" w:hAnsi="宋体" w:eastAsia="仿宋_GB2312"/>
          <w:b/>
          <w:sz w:val="28"/>
          <w:szCs w:val="28"/>
        </w:rPr>
      </w:pPr>
      <w:r>
        <w:rPr>
          <w:rFonts w:hint="eastAsia" w:ascii="仿宋_GB2312" w:hAnsi="宋体" w:eastAsia="仿宋_GB2312"/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220345</wp:posOffset>
            </wp:positionV>
            <wp:extent cx="4753610" cy="2465705"/>
            <wp:effectExtent l="19050" t="0" r="8890" b="0"/>
            <wp:wrapTopAndBottom/>
            <wp:docPr id="3" name="图片 2" descr="E:\产业体系\2021\主推技术\无人机喷雾防病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E:\产业体系\2021\主推技术\无人机喷雾防病情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430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b/>
          <w:sz w:val="28"/>
          <w:szCs w:val="28"/>
        </w:rPr>
        <w:t>图2  无人机喷雾防病虫</w:t>
      </w:r>
    </w:p>
    <w:p w14:paraId="37135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7. 机械收获：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机械联合收获时，应在95%以上油菜角果呈黄褐色，植株、角果中含水量下降，冠层略微抬起时进行。不宜在晴天正午前后作业，以减少落粒。留茬高度20～30厘米。可选用收获率和作业效率较高的机型，如久保田688Q或EX108（图3）、星光至尊4LL-2.0D或采用杂粮割台的油菜收获机等。分段收获时，应在全株有70%以上角果呈黄绿色至淡黄色，主序角果已转黄色，分枝角果基本褪色，种皮转为红褐色时先将植株割倒，经后熟5～6天后，用捡拾收获机脱粒。割晒可选用星光至尊4SY-2.0型、4SY-2.3型等。</w:t>
      </w:r>
    </w:p>
    <w:p w14:paraId="64EAFAE2">
      <w:pPr>
        <w:snapToGrid w:val="0"/>
        <w:spacing w:line="640" w:lineRule="exact"/>
        <w:ind w:firstLine="643" w:firstLineChars="200"/>
        <w:rPr>
          <w:rFonts w:hint="eastAsia" w:ascii="楷体" w:hAnsi="楷体" w:eastAsia="楷体"/>
          <w:b/>
          <w:bCs/>
          <w:color w:val="000000"/>
          <w:sz w:val="32"/>
          <w:szCs w:val="32"/>
        </w:rPr>
      </w:pPr>
      <w:r>
        <w:rPr>
          <w:rFonts w:hint="eastAsia" w:ascii="楷体" w:hAnsi="楷体" w:eastAsia="楷体"/>
          <w:b/>
          <w:bCs/>
          <w:color w:val="000000"/>
          <w:sz w:val="32"/>
          <w:szCs w:val="32"/>
        </w:rPr>
        <w:t>（二）关中地区技术要点</w:t>
      </w:r>
    </w:p>
    <w:p w14:paraId="0E4147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hint="eastAsia" w:ascii="CESI仿宋-GB2312" w:hAnsi="CESI仿宋-GB2312" w:eastAsia="CESI仿宋-GB2312" w:cs="CESI仿宋-GB2312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1. 适宜机收品种选择：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选用种子活力高、出苗快、抗倒、耐病、耐晚播密植、耐裂荚高产高油和耐寒耐旱耐瘠薄等特性的品种。如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秦优1618、秦优797、陕油28、秦优30、甘杂一号、合杂油二号、秦优11004、天油14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等品种。</w:t>
      </w:r>
    </w:p>
    <w:p w14:paraId="1E4812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hint="default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2. 科学施肥：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亩施纯氮5～7kg、五氧化二磷6kg、氧化钾3kg，作底肥一次施入。初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花期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eastAsia="zh-CN"/>
        </w:rPr>
        <w:t>结合防治病虫害每亩喷施磷酸二氢钾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100～200g。</w:t>
      </w:r>
    </w:p>
    <w:p w14:paraId="1995D3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ascii="仿宋_GB2312" w:hAnsi="宋体" w:eastAsia="仿宋_GB2312"/>
          <w:b/>
          <w:bCs/>
          <w:color w:val="auto"/>
          <w:sz w:val="32"/>
          <w:szCs w:val="32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3. 最佳播期：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适度晚播，渭北旱塬在9月上中旬播种；关中塬区在9月中下旬；关中川道在9月下旬。若抢墒早播须在油菜5～6叶期用烯效唑控旺，确保安全越冬。亩播量200～250g，成苗2～3万株。</w:t>
      </w:r>
    </w:p>
    <w:p w14:paraId="777D16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4. 防治害虫：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播期防治蛴螬、蟋蟀等地下害虫，播前每亩用3%米乐尔颗粒剂4kg左右拌10kg细干土撒施，然后耙耱待播；或苗期用50%辛硫磷或48%毒死蜱以饵料1%的剂量拌成毒饵，傍晚撒施；或用含噻虫嗪成分的拌种剂进行药剂拌种。早春防茎象甲和跳甲，在油菜返青起薹期选用噻虫嗪或毒死蜱等1000倍液喷施防控。花角期防治蚜虫，选用10%吡虫啉或25%噻虫嗪加有机硅助剂，用植保无人机均匀喷施防治。（图2）</w:t>
      </w:r>
    </w:p>
    <w:p w14:paraId="4B66BC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2" w:firstLineChars="200"/>
        <w:textAlignment w:val="auto"/>
        <w:rPr>
          <w:rFonts w:hint="default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t>5. 适时机收：</w:t>
      </w: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枯熟期采用联合机收，选用久保田EX108等收割机进行。（图3）</w:t>
      </w:r>
    </w:p>
    <w:p w14:paraId="4478D3F2">
      <w:pPr>
        <w:pStyle w:val="2"/>
        <w:rPr>
          <w:rFonts w:hint="eastAsia"/>
          <w:lang w:val="en-US" w:eastAsia="zh-CN"/>
        </w:rPr>
      </w:pPr>
    </w:p>
    <w:p w14:paraId="3E2B7B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center"/>
        <w:textAlignment w:val="auto"/>
        <w:rPr>
          <w:rFonts w:hint="eastAsia" w:ascii="仿宋_GB2312" w:hAnsi="宋体" w:eastAsia="仿宋_GB2312"/>
          <w:b/>
          <w:sz w:val="28"/>
          <w:szCs w:val="28"/>
        </w:rPr>
      </w:pPr>
      <w:r>
        <w:rPr>
          <w:rFonts w:hint="eastAsia" w:ascii="CESI仿宋-GB2312" w:hAnsi="CESI仿宋-GB2312" w:eastAsia="CESI仿宋-GB2312" w:cs="CESI仿宋-GB2312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50165</wp:posOffset>
            </wp:positionV>
            <wp:extent cx="5280025" cy="2431415"/>
            <wp:effectExtent l="19050" t="0" r="0" b="0"/>
            <wp:wrapTopAndBottom/>
            <wp:docPr id="6" name="图片 3" descr="E:\产业体系\2021\主推技术\油菜机械化一次联合机收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\产业体系\2021\主推技术\油菜机械化一次联合机收情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067" b="1645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b/>
          <w:sz w:val="28"/>
          <w:szCs w:val="28"/>
        </w:rPr>
        <w:t>图3  油菜机械化一次联合机收</w:t>
      </w:r>
    </w:p>
    <w:p w14:paraId="00C0FB40">
      <w:pPr>
        <w:adjustRightInd w:val="0"/>
        <w:snapToGrid w:val="0"/>
        <w:spacing w:line="640" w:lineRule="exact"/>
        <w:ind w:firstLine="640" w:firstLineChars="200"/>
        <w:rPr>
          <w:rFonts w:ascii="Times New Roman" w:hAnsi="Times New Roman" w:eastAsia="黑体"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bCs/>
          <w:color w:val="000000"/>
          <w:sz w:val="32"/>
          <w:szCs w:val="32"/>
        </w:rPr>
        <w:t>三、适宜区域</w:t>
      </w:r>
    </w:p>
    <w:p w14:paraId="2E275A77">
      <w:pPr>
        <w:spacing w:line="560" w:lineRule="exact"/>
        <w:ind w:firstLine="560" w:firstLineChars="200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本技术适宜陕南、关中地区油菜区推广。</w:t>
      </w:r>
    </w:p>
    <w:p w14:paraId="00BD3569">
      <w:pPr>
        <w:adjustRightInd w:val="0"/>
        <w:snapToGrid w:val="0"/>
        <w:spacing w:line="640" w:lineRule="exact"/>
        <w:ind w:firstLine="640" w:firstLineChars="200"/>
        <w:rPr>
          <w:rFonts w:ascii="Times New Roman" w:hAnsi="Times New Roman" w:eastAsia="黑体"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bCs/>
          <w:color w:val="000000"/>
          <w:sz w:val="32"/>
          <w:szCs w:val="32"/>
        </w:rPr>
        <w:t>四、注意事项</w:t>
      </w:r>
    </w:p>
    <w:p w14:paraId="3B0C5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1. 陕南播种时如因天气原因造成田间积水，应及时清沟排湿。</w:t>
      </w:r>
    </w:p>
    <w:p w14:paraId="490AA5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2. 机械操作。陕南播种机的牵引拖拉机应选用高花轮胎，其他机械严格按照使用说明要求执行。</w:t>
      </w:r>
    </w:p>
    <w:p w14:paraId="44B161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3. 机械收获。联合收获时应选用成熟度一致性好、抗倒伏的油菜品种，按技术要求选定收获时间，否则收获损失率较高。</w:t>
      </w:r>
    </w:p>
    <w:p w14:paraId="589DB3D5">
      <w:pPr>
        <w:adjustRightInd w:val="0"/>
        <w:snapToGrid w:val="0"/>
        <w:spacing w:line="640" w:lineRule="exact"/>
        <w:ind w:firstLine="640" w:firstLineChars="200"/>
        <w:rPr>
          <w:rFonts w:ascii="Times New Roman" w:hAnsi="Times New Roman" w:eastAsia="黑体"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bCs/>
          <w:color w:val="000000"/>
          <w:sz w:val="32"/>
          <w:szCs w:val="32"/>
        </w:rPr>
        <w:t>五、技术依托单位</w:t>
      </w:r>
    </w:p>
    <w:p w14:paraId="1EE18976">
      <w:pPr>
        <w:spacing w:line="560" w:lineRule="exact"/>
        <w:ind w:firstLine="643" w:firstLineChars="200"/>
        <w:rPr>
          <w:rFonts w:hint="default" w:ascii="Times New Roman" w:hAnsi="Times New Roman" w:eastAsia="楷体"/>
          <w:b/>
          <w:color w:val="000000"/>
          <w:sz w:val="32"/>
          <w:szCs w:val="32"/>
          <w:lang w:val="en" w:eastAsia="zh-CN"/>
        </w:rPr>
      </w:pPr>
      <w:r>
        <w:rPr>
          <w:rFonts w:hint="eastAsia" w:ascii="Times New Roman" w:hAnsi="Times New Roman" w:eastAsia="楷体"/>
          <w:b/>
          <w:color w:val="000000"/>
          <w:sz w:val="32"/>
          <w:szCs w:val="32"/>
          <w:lang w:val="en" w:eastAsia="zh-CN"/>
        </w:rPr>
        <w:t>1.</w:t>
      </w:r>
      <w:r>
        <w:rPr>
          <w:rFonts w:hint="eastAsia" w:ascii="Times New Roman" w:hAnsi="Times New Roman" w:eastAsia="楷体"/>
          <w:b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楷体"/>
          <w:b/>
          <w:color w:val="000000"/>
          <w:sz w:val="32"/>
          <w:szCs w:val="32"/>
          <w:lang w:val="en" w:eastAsia="zh-CN"/>
        </w:rPr>
        <w:t>陕西省油菜产业技术体系</w:t>
      </w:r>
    </w:p>
    <w:p w14:paraId="7C9A27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default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联系地址：西安市莲湖区习武园27号</w:t>
      </w:r>
    </w:p>
    <w:p w14:paraId="0C30D5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邮政编码：710003</w:t>
      </w:r>
    </w:p>
    <w:p w14:paraId="1B27D5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联系人：王阳峰、穆建新、贾战通、周子凡、李永红</w:t>
      </w:r>
    </w:p>
    <w:p w14:paraId="41F9CC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default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联系电话：18629508495，13991660095</w:t>
      </w:r>
    </w:p>
    <w:p w14:paraId="4F8781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电子邮箱：jingjizuowuke@126.com</w:t>
      </w:r>
    </w:p>
    <w:p w14:paraId="592EBE6D">
      <w:pPr>
        <w:spacing w:line="560" w:lineRule="exact"/>
        <w:ind w:firstLine="643" w:firstLineChars="200"/>
        <w:rPr>
          <w:rFonts w:hint="default" w:ascii="Times New Roman" w:hAnsi="Times New Roman" w:eastAsia="楷体"/>
          <w:b/>
          <w:color w:val="000000"/>
          <w:sz w:val="32"/>
          <w:szCs w:val="32"/>
          <w:lang w:val="en" w:eastAsia="zh-CN"/>
        </w:rPr>
      </w:pPr>
      <w:r>
        <w:rPr>
          <w:rFonts w:hint="eastAsia" w:ascii="Times New Roman" w:hAnsi="Times New Roman" w:eastAsia="楷体"/>
          <w:b/>
          <w:color w:val="000000"/>
          <w:sz w:val="32"/>
          <w:szCs w:val="32"/>
          <w:lang w:val="en" w:eastAsia="zh-CN"/>
        </w:rPr>
        <w:t>2.</w:t>
      </w:r>
      <w:r>
        <w:rPr>
          <w:rFonts w:hint="eastAsia" w:ascii="Times New Roman" w:hAnsi="Times New Roman" w:eastAsia="楷体"/>
          <w:b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楷体"/>
          <w:b/>
          <w:color w:val="000000"/>
          <w:sz w:val="32"/>
          <w:szCs w:val="32"/>
          <w:lang w:val="en" w:eastAsia="zh-CN"/>
        </w:rPr>
        <w:t>陕西省农业技术推广总站</w:t>
      </w:r>
    </w:p>
    <w:p w14:paraId="7FF6D0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联系地址：西安市莲湖区习武园27号</w:t>
      </w:r>
    </w:p>
    <w:p w14:paraId="46189D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邮政编码：710003</w:t>
      </w:r>
    </w:p>
    <w:p w14:paraId="19058E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联系人：牛青、杨飞</w:t>
      </w:r>
    </w:p>
    <w:p w14:paraId="2FBD2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default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联系电话：029-87363837，18710643949</w:t>
      </w:r>
    </w:p>
    <w:p w14:paraId="240E80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 w:eastAsia="zh-CN"/>
        </w:rPr>
        <w:t>电子邮箱：jingjizuowuke@126.com</w:t>
      </w:r>
    </w:p>
    <w:p w14:paraId="62A54277">
      <w:pPr>
        <w:widowControl/>
        <w:spacing w:line="540" w:lineRule="exact"/>
        <w:rPr>
          <w:rFonts w:eastAsia="仿宋_GB2312"/>
          <w:color w:val="auto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75838"/>
      <w:docPartObj>
        <w:docPartGallery w:val="autotext"/>
      </w:docPartObj>
    </w:sdtPr>
    <w:sdtContent>
      <w:p w14:paraId="207D09AD">
        <w:pPr>
          <w:pStyle w:val="4"/>
          <w:jc w:val="center"/>
        </w:pPr>
        <w:r>
          <w:rPr>
            <w:rFonts w:hint="eastAsia"/>
          </w:rPr>
          <w:t>—</w:t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1</w:t>
        </w:r>
        <w:r>
          <w:rPr>
            <w:sz w:val="28"/>
            <w:szCs w:val="28"/>
          </w:rPr>
          <w:fldChar w:fldCharType="end"/>
        </w:r>
        <w:r>
          <w:rPr>
            <w:rFonts w:hint="eastAsia"/>
          </w:rPr>
          <w:t>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BC"/>
    <w:rsid w:val="000021C9"/>
    <w:rsid w:val="00005F48"/>
    <w:rsid w:val="00006D2F"/>
    <w:rsid w:val="00013B1D"/>
    <w:rsid w:val="00036F04"/>
    <w:rsid w:val="00044570"/>
    <w:rsid w:val="000453D2"/>
    <w:rsid w:val="00053EC4"/>
    <w:rsid w:val="0005507E"/>
    <w:rsid w:val="000576E7"/>
    <w:rsid w:val="0006440C"/>
    <w:rsid w:val="00084140"/>
    <w:rsid w:val="00091070"/>
    <w:rsid w:val="00091896"/>
    <w:rsid w:val="000A44A5"/>
    <w:rsid w:val="000C5CAE"/>
    <w:rsid w:val="000D0DA2"/>
    <w:rsid w:val="000D2198"/>
    <w:rsid w:val="000D21F7"/>
    <w:rsid w:val="000E2C9A"/>
    <w:rsid w:val="000F7B6D"/>
    <w:rsid w:val="001127C5"/>
    <w:rsid w:val="00114299"/>
    <w:rsid w:val="001301CD"/>
    <w:rsid w:val="001622A2"/>
    <w:rsid w:val="00185E04"/>
    <w:rsid w:val="001879D3"/>
    <w:rsid w:val="00195D01"/>
    <w:rsid w:val="001B1E6A"/>
    <w:rsid w:val="001B5CD7"/>
    <w:rsid w:val="001B6906"/>
    <w:rsid w:val="001C4907"/>
    <w:rsid w:val="001D0C42"/>
    <w:rsid w:val="001D153C"/>
    <w:rsid w:val="001D1763"/>
    <w:rsid w:val="001E7BFC"/>
    <w:rsid w:val="001F61AE"/>
    <w:rsid w:val="0020649F"/>
    <w:rsid w:val="00207309"/>
    <w:rsid w:val="00210D73"/>
    <w:rsid w:val="00223AC3"/>
    <w:rsid w:val="002259C3"/>
    <w:rsid w:val="0027300B"/>
    <w:rsid w:val="002926CF"/>
    <w:rsid w:val="0029392A"/>
    <w:rsid w:val="002A4DE8"/>
    <w:rsid w:val="002C439E"/>
    <w:rsid w:val="002D7DF7"/>
    <w:rsid w:val="002E0C2C"/>
    <w:rsid w:val="002E5E88"/>
    <w:rsid w:val="002E6E40"/>
    <w:rsid w:val="003118BC"/>
    <w:rsid w:val="00320148"/>
    <w:rsid w:val="00322310"/>
    <w:rsid w:val="00325D72"/>
    <w:rsid w:val="0032650E"/>
    <w:rsid w:val="0033062B"/>
    <w:rsid w:val="00333F75"/>
    <w:rsid w:val="00363DAE"/>
    <w:rsid w:val="003911BC"/>
    <w:rsid w:val="003B5F40"/>
    <w:rsid w:val="003D4AC5"/>
    <w:rsid w:val="003D4F86"/>
    <w:rsid w:val="00414E6E"/>
    <w:rsid w:val="004305DD"/>
    <w:rsid w:val="0043222F"/>
    <w:rsid w:val="004558B4"/>
    <w:rsid w:val="004673FD"/>
    <w:rsid w:val="00485F8D"/>
    <w:rsid w:val="004929F7"/>
    <w:rsid w:val="004A18B8"/>
    <w:rsid w:val="004C1098"/>
    <w:rsid w:val="004D13CF"/>
    <w:rsid w:val="004F7E57"/>
    <w:rsid w:val="005022C6"/>
    <w:rsid w:val="005072BF"/>
    <w:rsid w:val="005148B5"/>
    <w:rsid w:val="005221A0"/>
    <w:rsid w:val="005251F6"/>
    <w:rsid w:val="005354EF"/>
    <w:rsid w:val="00540805"/>
    <w:rsid w:val="005429EB"/>
    <w:rsid w:val="00543350"/>
    <w:rsid w:val="00544546"/>
    <w:rsid w:val="00547F60"/>
    <w:rsid w:val="00572BF6"/>
    <w:rsid w:val="00591C5C"/>
    <w:rsid w:val="00592C21"/>
    <w:rsid w:val="005939A3"/>
    <w:rsid w:val="005979A7"/>
    <w:rsid w:val="005A7E58"/>
    <w:rsid w:val="005B6395"/>
    <w:rsid w:val="005C074D"/>
    <w:rsid w:val="005C668E"/>
    <w:rsid w:val="005C78C6"/>
    <w:rsid w:val="005E4296"/>
    <w:rsid w:val="005E567C"/>
    <w:rsid w:val="005F095C"/>
    <w:rsid w:val="005F186A"/>
    <w:rsid w:val="005F1DF4"/>
    <w:rsid w:val="005F5648"/>
    <w:rsid w:val="006011A8"/>
    <w:rsid w:val="00613379"/>
    <w:rsid w:val="00622957"/>
    <w:rsid w:val="006301A8"/>
    <w:rsid w:val="00665043"/>
    <w:rsid w:val="006905BD"/>
    <w:rsid w:val="00695EC9"/>
    <w:rsid w:val="006F73BF"/>
    <w:rsid w:val="007008F2"/>
    <w:rsid w:val="00716A6E"/>
    <w:rsid w:val="00721367"/>
    <w:rsid w:val="00722938"/>
    <w:rsid w:val="007343AC"/>
    <w:rsid w:val="007550A4"/>
    <w:rsid w:val="00757CD9"/>
    <w:rsid w:val="007604E7"/>
    <w:rsid w:val="00767799"/>
    <w:rsid w:val="00770A0B"/>
    <w:rsid w:val="00770FBD"/>
    <w:rsid w:val="0077645A"/>
    <w:rsid w:val="007829A2"/>
    <w:rsid w:val="00783DD5"/>
    <w:rsid w:val="00786151"/>
    <w:rsid w:val="007B25BB"/>
    <w:rsid w:val="007B39AC"/>
    <w:rsid w:val="007B4A48"/>
    <w:rsid w:val="007C0D12"/>
    <w:rsid w:val="007C206D"/>
    <w:rsid w:val="007C6228"/>
    <w:rsid w:val="007D4484"/>
    <w:rsid w:val="007D5D04"/>
    <w:rsid w:val="008066D8"/>
    <w:rsid w:val="00815610"/>
    <w:rsid w:val="00820948"/>
    <w:rsid w:val="008274F9"/>
    <w:rsid w:val="00843371"/>
    <w:rsid w:val="008466F6"/>
    <w:rsid w:val="00855424"/>
    <w:rsid w:val="00867976"/>
    <w:rsid w:val="0088571B"/>
    <w:rsid w:val="00892093"/>
    <w:rsid w:val="008C3F3D"/>
    <w:rsid w:val="008D36CB"/>
    <w:rsid w:val="008F3B04"/>
    <w:rsid w:val="008F4F95"/>
    <w:rsid w:val="00947B0B"/>
    <w:rsid w:val="009768BD"/>
    <w:rsid w:val="009802E5"/>
    <w:rsid w:val="009835A2"/>
    <w:rsid w:val="00983C13"/>
    <w:rsid w:val="009915CD"/>
    <w:rsid w:val="00993989"/>
    <w:rsid w:val="00994E8B"/>
    <w:rsid w:val="009A5B42"/>
    <w:rsid w:val="009C2E3A"/>
    <w:rsid w:val="009C7608"/>
    <w:rsid w:val="009F0008"/>
    <w:rsid w:val="009F1171"/>
    <w:rsid w:val="009F3094"/>
    <w:rsid w:val="00A201CC"/>
    <w:rsid w:val="00A24929"/>
    <w:rsid w:val="00A25874"/>
    <w:rsid w:val="00A30EB6"/>
    <w:rsid w:val="00A35B9E"/>
    <w:rsid w:val="00A55910"/>
    <w:rsid w:val="00A601D5"/>
    <w:rsid w:val="00A81B69"/>
    <w:rsid w:val="00A9361A"/>
    <w:rsid w:val="00A93C4A"/>
    <w:rsid w:val="00A95A45"/>
    <w:rsid w:val="00AA2764"/>
    <w:rsid w:val="00AC1114"/>
    <w:rsid w:val="00AD265D"/>
    <w:rsid w:val="00AD36FD"/>
    <w:rsid w:val="00AD72A0"/>
    <w:rsid w:val="00AE13E2"/>
    <w:rsid w:val="00AE39F3"/>
    <w:rsid w:val="00AE7147"/>
    <w:rsid w:val="00B01C5C"/>
    <w:rsid w:val="00B32A2B"/>
    <w:rsid w:val="00B340CC"/>
    <w:rsid w:val="00B452CC"/>
    <w:rsid w:val="00B52357"/>
    <w:rsid w:val="00B53134"/>
    <w:rsid w:val="00B82377"/>
    <w:rsid w:val="00B852A1"/>
    <w:rsid w:val="00BA12C3"/>
    <w:rsid w:val="00BB0514"/>
    <w:rsid w:val="00BD6DF4"/>
    <w:rsid w:val="00BE2EEB"/>
    <w:rsid w:val="00BF1C5F"/>
    <w:rsid w:val="00BF7737"/>
    <w:rsid w:val="00C029AC"/>
    <w:rsid w:val="00C178D7"/>
    <w:rsid w:val="00C25E69"/>
    <w:rsid w:val="00C35FED"/>
    <w:rsid w:val="00C37093"/>
    <w:rsid w:val="00C425F7"/>
    <w:rsid w:val="00C609EF"/>
    <w:rsid w:val="00C6288E"/>
    <w:rsid w:val="00C72ED1"/>
    <w:rsid w:val="00C857AD"/>
    <w:rsid w:val="00C947C2"/>
    <w:rsid w:val="00CB32E9"/>
    <w:rsid w:val="00CC596F"/>
    <w:rsid w:val="00CE1CEA"/>
    <w:rsid w:val="00D3241F"/>
    <w:rsid w:val="00D41DA6"/>
    <w:rsid w:val="00D460CC"/>
    <w:rsid w:val="00D511D1"/>
    <w:rsid w:val="00D51922"/>
    <w:rsid w:val="00D53005"/>
    <w:rsid w:val="00D61226"/>
    <w:rsid w:val="00D6353E"/>
    <w:rsid w:val="00D667EA"/>
    <w:rsid w:val="00D7057F"/>
    <w:rsid w:val="00D71101"/>
    <w:rsid w:val="00D82094"/>
    <w:rsid w:val="00D83878"/>
    <w:rsid w:val="00D85476"/>
    <w:rsid w:val="00D86507"/>
    <w:rsid w:val="00D954BA"/>
    <w:rsid w:val="00DA3C5B"/>
    <w:rsid w:val="00DA5674"/>
    <w:rsid w:val="00DB5F73"/>
    <w:rsid w:val="00DB7D12"/>
    <w:rsid w:val="00DD137C"/>
    <w:rsid w:val="00DF3C17"/>
    <w:rsid w:val="00E00106"/>
    <w:rsid w:val="00E1177F"/>
    <w:rsid w:val="00E26B0A"/>
    <w:rsid w:val="00E27BAE"/>
    <w:rsid w:val="00E33076"/>
    <w:rsid w:val="00E402C6"/>
    <w:rsid w:val="00E46EBC"/>
    <w:rsid w:val="00E55414"/>
    <w:rsid w:val="00E62717"/>
    <w:rsid w:val="00E63A50"/>
    <w:rsid w:val="00E67214"/>
    <w:rsid w:val="00EB44BE"/>
    <w:rsid w:val="00EB580A"/>
    <w:rsid w:val="00EE6EFB"/>
    <w:rsid w:val="00F01379"/>
    <w:rsid w:val="00F05D13"/>
    <w:rsid w:val="00F22611"/>
    <w:rsid w:val="00F23480"/>
    <w:rsid w:val="00F30C3A"/>
    <w:rsid w:val="00F5377D"/>
    <w:rsid w:val="00F638D2"/>
    <w:rsid w:val="00F71FD5"/>
    <w:rsid w:val="00FA3539"/>
    <w:rsid w:val="00FA6FAB"/>
    <w:rsid w:val="00FB369F"/>
    <w:rsid w:val="00FB5478"/>
    <w:rsid w:val="00FC6D89"/>
    <w:rsid w:val="00FE4C97"/>
    <w:rsid w:val="00FF7168"/>
    <w:rsid w:val="0721282E"/>
    <w:rsid w:val="3EBBF05B"/>
    <w:rsid w:val="3FD3B375"/>
    <w:rsid w:val="5F6B1A91"/>
    <w:rsid w:val="67B9CDFC"/>
    <w:rsid w:val="77AD4D38"/>
    <w:rsid w:val="7AAD40EC"/>
    <w:rsid w:val="7BCF0E27"/>
    <w:rsid w:val="7BE781F5"/>
    <w:rsid w:val="7DFFF9AD"/>
    <w:rsid w:val="7FFE644D"/>
    <w:rsid w:val="7FFEEEA0"/>
    <w:rsid w:val="95F22779"/>
    <w:rsid w:val="BFFEDA96"/>
    <w:rsid w:val="EBDDC47A"/>
    <w:rsid w:val="FABF9391"/>
    <w:rsid w:val="FCEA765B"/>
    <w:rsid w:val="FED6E720"/>
    <w:rsid w:val="FFBFA56C"/>
    <w:rsid w:val="FFCDD450"/>
    <w:rsid w:val="FFDF4D21"/>
    <w:rsid w:val="FFEF8D3F"/>
    <w:rsid w:val="FFFD122E"/>
    <w:rsid w:val="FFFF8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rPr>
      <w:rFonts w:ascii="Times New Roman" w:hAnsi="Times New Roman" w:eastAsia="仿宋_GB2312"/>
      <w:sz w:val="32"/>
    </w:r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link w:val="12"/>
    <w:qFormat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character" w:customStyle="1" w:styleId="9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普通(网站) Char"/>
    <w:basedOn w:val="8"/>
    <w:link w:val="6"/>
    <w:qFormat/>
    <w:locked/>
    <w:uiPriority w:val="99"/>
    <w:rPr>
      <w:rFonts w:ascii="Calibri" w:hAnsi="Calibri" w:eastAsia="宋体" w:cs="Times New Roman"/>
      <w:kern w:val="0"/>
      <w:sz w:val="24"/>
      <w:szCs w:val="24"/>
    </w:rPr>
  </w:style>
  <w:style w:type="character" w:customStyle="1" w:styleId="13">
    <w:name w:val="批注框文本 Char"/>
    <w:basedOn w:val="8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1224</Words>
  <Characters>1357</Characters>
  <Lines>18</Lines>
  <Paragraphs>5</Paragraphs>
  <TotalTime>2</TotalTime>
  <ScaleCrop>false</ScaleCrop>
  <LinksUpToDate>false</LinksUpToDate>
  <CharactersWithSpaces>1359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2021-02-09T08:37:00Z</dcterms:created>
  <dc:creator>lenovo</dc:creator>
  <cp:lastModifiedBy>忙里偷闲</cp:lastModifiedBy>
  <cp:lastPrinted>2021-02-09T08:10:00Z</cp:lastPrinted>
  <dcterms:modified xsi:type="dcterms:W3CDTF">2024-12-31T01:08:18Z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7705AFFC9C2D4809BE578EF69B26D7C5_12</vt:lpwstr>
  </property>
</Properties>
</file>