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085A71">
      <w:pPr>
        <w:spacing w:before="156" w:beforeLines="50" w:after="156" w:afterLines="50" w:line="600" w:lineRule="exact"/>
        <w:jc w:val="center"/>
        <w:rPr>
          <w:rFonts w:hint="eastAsia" w:ascii="黑体" w:hAnsi="黑体" w:eastAsia="黑体" w:cs="楷体_GB2312"/>
          <w:bCs/>
          <w:sz w:val="44"/>
          <w:szCs w:val="44"/>
          <w:lang w:val="en-US" w:eastAsia="zh-CN"/>
        </w:rPr>
      </w:pPr>
    </w:p>
    <w:p w14:paraId="38C6E98E">
      <w:pPr>
        <w:spacing w:before="156" w:beforeLines="50" w:after="156" w:afterLines="50" w:line="600" w:lineRule="exact"/>
        <w:jc w:val="center"/>
        <w:rPr>
          <w:rFonts w:ascii="黑体" w:hAnsi="黑体" w:eastAsia="黑体" w:cs="楷体_GB2312"/>
          <w:bCs/>
          <w:sz w:val="44"/>
          <w:szCs w:val="44"/>
        </w:rPr>
      </w:pPr>
      <w:r>
        <w:rPr>
          <w:rFonts w:hint="eastAsia" w:ascii="黑体" w:hAnsi="黑体" w:eastAsia="黑体" w:cs="楷体_GB2312"/>
          <w:bCs/>
          <w:sz w:val="44"/>
          <w:szCs w:val="44"/>
          <w:lang w:val="en-US" w:eastAsia="zh-CN"/>
        </w:rPr>
        <w:t>13.</w:t>
      </w:r>
      <w:r>
        <w:rPr>
          <w:rFonts w:hint="eastAsia" w:ascii="黑体" w:hAnsi="黑体" w:eastAsia="黑体" w:cs="楷体_GB2312"/>
          <w:bCs/>
          <w:sz w:val="44"/>
          <w:szCs w:val="44"/>
        </w:rPr>
        <w:t>夏大豆扩行缩株机械化生产技术</w:t>
      </w:r>
    </w:p>
    <w:p w14:paraId="2CE999A6">
      <w:pPr>
        <w:spacing w:line="600" w:lineRule="exact"/>
        <w:ind w:firstLine="640" w:firstLineChars="200"/>
        <w:jc w:val="left"/>
        <w:rPr>
          <w:rFonts w:ascii="黑体" w:hAnsi="黑体" w:eastAsia="黑体"/>
          <w:bCs/>
          <w:color w:val="000000" w:themeColor="text1"/>
          <w:sz w:val="32"/>
          <w:szCs w:val="32"/>
          <w14:textFill>
            <w14:solidFill>
              <w14:schemeClr w14:val="tx1"/>
            </w14:solidFill>
          </w14:textFill>
        </w:rPr>
      </w:pPr>
      <w:r>
        <w:rPr>
          <w:rFonts w:ascii="黑体" w:hAnsi="黑体" w:eastAsia="黑体"/>
          <w:bCs/>
          <w:color w:val="000000" w:themeColor="text1"/>
          <w:sz w:val="32"/>
          <w:szCs w:val="32"/>
          <w14:textFill>
            <w14:solidFill>
              <w14:schemeClr w14:val="tx1"/>
            </w14:solidFill>
          </w14:textFill>
        </w:rPr>
        <w:t>一、技术概述</w:t>
      </w:r>
      <w:bookmarkStart w:id="0" w:name="_GoBack"/>
      <w:bookmarkEnd w:id="0"/>
    </w:p>
    <w:p w14:paraId="6E589E66">
      <w:pPr>
        <w:snapToGrid w:val="0"/>
        <w:spacing w:line="600" w:lineRule="exact"/>
        <w:ind w:firstLine="562" w:firstLineChars="200"/>
        <w:rPr>
          <w:rFonts w:ascii="楷体" w:hAnsi="楷体" w:eastAsia="楷体" w:cs="楷体_GB2312"/>
          <w:b/>
          <w:color w:val="000000" w:themeColor="text1"/>
          <w:sz w:val="28"/>
          <w:szCs w:val="28"/>
          <w14:textFill>
            <w14:solidFill>
              <w14:schemeClr w14:val="tx1"/>
            </w14:solidFill>
          </w14:textFill>
        </w:rPr>
      </w:pPr>
      <w:r>
        <w:rPr>
          <w:rFonts w:hint="eastAsia" w:ascii="楷体" w:hAnsi="楷体" w:eastAsia="楷体" w:cs="楷体_GB2312"/>
          <w:b/>
          <w:color w:val="000000" w:themeColor="text1"/>
          <w:sz w:val="28"/>
          <w:szCs w:val="28"/>
          <w14:textFill>
            <w14:solidFill>
              <w14:schemeClr w14:val="tx1"/>
            </w14:solidFill>
          </w14:textFill>
        </w:rPr>
        <w:t>（一）技术基本情况</w:t>
      </w:r>
    </w:p>
    <w:p w14:paraId="2ACAA95C">
      <w:pPr>
        <w:snapToGrid w:val="0"/>
        <w:spacing w:line="600" w:lineRule="exact"/>
        <w:ind w:firstLine="560" w:firstLineChars="200"/>
        <w:rPr>
          <w:rFonts w:ascii="仿宋" w:hAnsi="仿宋" w:eastAsia="仿宋" w:cs="楷体_GB2312"/>
          <w:color w:val="000000" w:themeColor="text1"/>
          <w:sz w:val="28"/>
          <w:szCs w:val="28"/>
          <w14:textFill>
            <w14:solidFill>
              <w14:schemeClr w14:val="tx1"/>
            </w14:solidFill>
          </w14:textFill>
        </w:rPr>
      </w:pPr>
      <w:r>
        <w:rPr>
          <w:rFonts w:hint="eastAsia" w:ascii="仿宋" w:hAnsi="仿宋" w:eastAsia="仿宋" w:cs="楷体_GB2312"/>
          <w:color w:val="000000" w:themeColor="text1"/>
          <w:sz w:val="28"/>
          <w:szCs w:val="28"/>
          <w14:textFill>
            <w14:solidFill>
              <w14:schemeClr w14:val="tx1"/>
            </w14:solidFill>
          </w14:textFill>
        </w:rPr>
        <w:t>大豆是陕西省重要的作物之一，常年种植面积260</w:t>
      </w:r>
      <w:r>
        <w:rPr>
          <w:rFonts w:ascii="仿宋" w:hAnsi="仿宋" w:eastAsia="仿宋" w:cs="楷体_GB2312"/>
          <w:color w:val="000000" w:themeColor="text1"/>
          <w:sz w:val="28"/>
          <w:szCs w:val="28"/>
          <w14:textFill>
            <w14:solidFill>
              <w14:schemeClr w14:val="tx1"/>
            </w14:solidFill>
          </w14:textFill>
        </w:rPr>
        <w:t>万亩</w:t>
      </w:r>
      <w:r>
        <w:rPr>
          <w:rFonts w:hint="eastAsia" w:ascii="仿宋" w:hAnsi="仿宋" w:eastAsia="仿宋" w:cs="楷体_GB2312"/>
          <w:color w:val="000000" w:themeColor="text1"/>
          <w:sz w:val="28"/>
          <w:szCs w:val="28"/>
          <w14:textFill>
            <w14:solidFill>
              <w14:schemeClr w14:val="tx1"/>
            </w14:solidFill>
          </w14:textFill>
        </w:rPr>
        <w:t>左右</w:t>
      </w:r>
      <w:r>
        <w:rPr>
          <w:rFonts w:ascii="仿宋" w:hAnsi="仿宋" w:eastAsia="仿宋" w:cs="楷体_GB2312"/>
          <w:color w:val="000000" w:themeColor="text1"/>
          <w:sz w:val="28"/>
          <w:szCs w:val="28"/>
          <w14:textFill>
            <w14:solidFill>
              <w14:schemeClr w14:val="tx1"/>
            </w14:solidFill>
          </w14:textFill>
        </w:rPr>
        <w:t>，</w:t>
      </w:r>
      <w:r>
        <w:rPr>
          <w:rFonts w:hint="eastAsia" w:ascii="仿宋" w:hAnsi="仿宋" w:eastAsia="仿宋" w:cs="楷体_GB2312"/>
          <w:color w:val="000000" w:themeColor="text1"/>
          <w:sz w:val="28"/>
          <w:szCs w:val="28"/>
          <w14:textFill>
            <w14:solidFill>
              <w14:schemeClr w14:val="tx1"/>
            </w14:solidFill>
          </w14:textFill>
        </w:rPr>
        <w:t>其中夏大豆大约</w:t>
      </w:r>
      <w:r>
        <w:rPr>
          <w:rFonts w:ascii="仿宋" w:hAnsi="仿宋" w:eastAsia="仿宋" w:cs="楷体_GB2312"/>
          <w:color w:val="000000" w:themeColor="text1"/>
          <w:sz w:val="28"/>
          <w:szCs w:val="28"/>
          <w14:textFill>
            <w14:solidFill>
              <w14:schemeClr w14:val="tx1"/>
            </w14:solidFill>
          </w14:textFill>
        </w:rPr>
        <w:t>占全省</w:t>
      </w:r>
      <w:r>
        <w:rPr>
          <w:rFonts w:hint="eastAsia" w:ascii="仿宋" w:hAnsi="仿宋" w:eastAsia="仿宋" w:cs="楷体_GB2312"/>
          <w:color w:val="000000" w:themeColor="text1"/>
          <w:sz w:val="28"/>
          <w:szCs w:val="28"/>
          <w14:textFill>
            <w14:solidFill>
              <w14:schemeClr w14:val="tx1"/>
            </w14:solidFill>
          </w14:textFill>
        </w:rPr>
        <w:t>大豆</w:t>
      </w:r>
      <w:r>
        <w:rPr>
          <w:rFonts w:ascii="仿宋" w:hAnsi="仿宋" w:eastAsia="仿宋" w:cs="楷体_GB2312"/>
          <w:color w:val="000000" w:themeColor="text1"/>
          <w:sz w:val="28"/>
          <w:szCs w:val="28"/>
          <w14:textFill>
            <w14:solidFill>
              <w14:schemeClr w14:val="tx1"/>
            </w14:solidFill>
          </w14:textFill>
        </w:rPr>
        <w:t>种植面积的</w:t>
      </w:r>
      <w:r>
        <w:rPr>
          <w:rFonts w:hint="eastAsia" w:ascii="仿宋" w:hAnsi="仿宋" w:eastAsia="仿宋" w:cs="楷体_GB2312"/>
          <w:color w:val="000000" w:themeColor="text1"/>
          <w:sz w:val="28"/>
          <w:szCs w:val="28"/>
          <w14:textFill>
            <w14:solidFill>
              <w14:schemeClr w14:val="tx1"/>
            </w14:solidFill>
          </w14:textFill>
        </w:rPr>
        <w:t>60</w:t>
      </w:r>
      <w:r>
        <w:rPr>
          <w:rFonts w:ascii="仿宋" w:hAnsi="仿宋" w:eastAsia="仿宋" w:cs="楷体_GB2312"/>
          <w:color w:val="000000" w:themeColor="text1"/>
          <w:sz w:val="28"/>
          <w:szCs w:val="28"/>
          <w14:textFill>
            <w14:solidFill>
              <w14:schemeClr w14:val="tx1"/>
            </w14:solidFill>
          </w14:textFill>
        </w:rPr>
        <w:t>%。</w:t>
      </w:r>
      <w:r>
        <w:rPr>
          <w:rFonts w:hint="eastAsia" w:ascii="仿宋" w:hAnsi="仿宋" w:eastAsia="仿宋" w:cs="楷体_GB2312"/>
          <w:color w:val="000000" w:themeColor="text1"/>
          <w:sz w:val="28"/>
          <w:szCs w:val="28"/>
          <w14:textFill>
            <w14:solidFill>
              <w14:schemeClr w14:val="tx1"/>
            </w14:solidFill>
          </w14:textFill>
        </w:rPr>
        <w:t>近年来，随着国家大豆振兴计划的实施，大豆生产及大豆产业链发展已连续5年写入中央一号文件，说明国家对大豆生产及大豆产业发展的高度重视。</w:t>
      </w:r>
    </w:p>
    <w:p w14:paraId="0F4FF208">
      <w:pPr>
        <w:snapToGrid w:val="0"/>
        <w:spacing w:line="600" w:lineRule="exact"/>
        <w:ind w:firstLine="560" w:firstLineChars="200"/>
        <w:rPr>
          <w:rFonts w:ascii="仿宋" w:hAnsi="仿宋" w:eastAsia="仿宋" w:cs="楷体_GB2312"/>
          <w:color w:val="000000" w:themeColor="text1"/>
          <w:sz w:val="28"/>
          <w:szCs w:val="28"/>
          <w14:textFill>
            <w14:solidFill>
              <w14:schemeClr w14:val="tx1"/>
            </w14:solidFill>
          </w14:textFill>
        </w:rPr>
      </w:pPr>
      <w:r>
        <w:rPr>
          <w:rFonts w:hint="eastAsia" w:ascii="仿宋" w:hAnsi="仿宋" w:eastAsia="仿宋" w:cs="楷体_GB2312"/>
          <w:color w:val="000000" w:themeColor="text1"/>
          <w:sz w:val="28"/>
          <w:szCs w:val="28"/>
          <w14:textFill>
            <w14:solidFill>
              <w14:schemeClr w14:val="tx1"/>
            </w14:solidFill>
          </w14:textFill>
        </w:rPr>
        <w:t>当前，陕西省夏大豆生产最突出的问题是播种机械、田间管理和收获机械的不配套，导致夏大豆生产效率低下，种植成本高，种植户生产积极性不高。为进一步加强我省夏大豆生产能力，降低夏大豆生产成本，科技人员通过试验研究、田间验证、示范推广、种植户反馈，集成机械化播种、无人机管理、机械化收获、后期催熟为核心的夏大豆扩行缩株机械化生产技术。</w:t>
      </w:r>
    </w:p>
    <w:p w14:paraId="0260E040">
      <w:pPr>
        <w:snapToGrid w:val="0"/>
        <w:spacing w:line="600" w:lineRule="exact"/>
        <w:ind w:firstLine="560" w:firstLineChars="200"/>
        <w:rPr>
          <w:rFonts w:ascii="仿宋" w:hAnsi="仿宋" w:eastAsia="仿宋" w:cs="楷体_GB2312"/>
          <w:color w:val="000000" w:themeColor="text1"/>
          <w:sz w:val="28"/>
          <w:szCs w:val="28"/>
          <w14:textFill>
            <w14:solidFill>
              <w14:schemeClr w14:val="tx1"/>
            </w14:solidFill>
          </w14:textFill>
        </w:rPr>
      </w:pPr>
      <w:r>
        <w:rPr>
          <w:rFonts w:hint="eastAsia" w:ascii="仿宋" w:hAnsi="仿宋" w:eastAsia="仿宋" w:cs="楷体_GB2312"/>
          <w:color w:val="000000" w:themeColor="text1"/>
          <w:sz w:val="28"/>
          <w:szCs w:val="28"/>
          <w14:textFill>
            <w14:solidFill>
              <w14:schemeClr w14:val="tx1"/>
            </w14:solidFill>
          </w14:textFill>
        </w:rPr>
        <w:t>该技术综合考虑大豆专用播种机械和收获机械匮乏的问题，通过利用现有玉米播种机械实现大豆播种，利用现有的小麦收获机械实现大豆收获。同时，利用植保无人飞机完成生育期杂草、病虫害防治和后期催熟的机械化作业。该技术通过利用现有的其它作物的种、收机械，实现大豆生产和节本增效，实现农业机械资源的充分利用；利用扩行缩株保障大豆田间种植密度并促进大豆行间通风透光，提高大豆个体和群体之间的高效协同，提升大豆单产，对种植户种植积极性和农机社会服务机构的农机使用率的提高具有重要作用。</w:t>
      </w:r>
    </w:p>
    <w:p w14:paraId="14686EC3">
      <w:pPr>
        <w:snapToGrid w:val="0"/>
        <w:spacing w:line="600" w:lineRule="exact"/>
        <w:ind w:firstLine="640"/>
        <w:rPr>
          <w:rFonts w:ascii="楷体" w:hAnsi="楷体" w:eastAsia="楷体" w:cs="楷体_GB2312"/>
          <w:b/>
          <w:color w:val="000000" w:themeColor="text1"/>
          <w:sz w:val="32"/>
          <w:szCs w:val="32"/>
          <w14:textFill>
            <w14:solidFill>
              <w14:schemeClr w14:val="tx1"/>
            </w14:solidFill>
          </w14:textFill>
        </w:rPr>
      </w:pPr>
      <w:r>
        <w:rPr>
          <w:rFonts w:hint="eastAsia" w:ascii="楷体" w:hAnsi="楷体" w:eastAsia="楷体" w:cs="楷体_GB2312"/>
          <w:b/>
          <w:color w:val="000000" w:themeColor="text1"/>
          <w:sz w:val="32"/>
          <w:szCs w:val="32"/>
          <w14:textFill>
            <w14:solidFill>
              <w14:schemeClr w14:val="tx1"/>
            </w14:solidFill>
          </w14:textFill>
        </w:rPr>
        <w:t>（二）技术示范推广情况</w:t>
      </w:r>
    </w:p>
    <w:p w14:paraId="61452E91">
      <w:pPr>
        <w:snapToGrid w:val="0"/>
        <w:spacing w:line="600" w:lineRule="exact"/>
        <w:ind w:firstLine="640"/>
        <w:rPr>
          <w:rFonts w:ascii="仿宋" w:hAnsi="仿宋" w:eastAsia="仿宋" w:cs="楷体_GB2312"/>
          <w:color w:val="000000" w:themeColor="text1"/>
          <w:sz w:val="28"/>
          <w:szCs w:val="28"/>
          <w14:textFill>
            <w14:solidFill>
              <w14:schemeClr w14:val="tx1"/>
            </w14:solidFill>
          </w14:textFill>
        </w:rPr>
      </w:pPr>
      <w:r>
        <w:rPr>
          <w:rFonts w:hint="eastAsia" w:ascii="仿宋" w:hAnsi="仿宋" w:eastAsia="仿宋" w:cs="楷体_GB2312"/>
          <w:color w:val="000000" w:themeColor="text1"/>
          <w:sz w:val="28"/>
          <w:szCs w:val="28"/>
          <w14:textFill>
            <w14:solidFill>
              <w14:schemeClr w14:val="tx1"/>
            </w14:solidFill>
          </w14:textFill>
        </w:rPr>
        <w:t>自2021年开始，该技术在宝鸡地区示范推广，并逐步在咸阳、渭南、汉中以及大豆春播区示范应用，获得良好的示范效果。2022年，该技术在岐山县刘家塬村通过良种良法配套实现大豆亩产284.86kg，实现当年陕西省夏播大豆高产记录。2023年，该技术在岐山县刘家塬村通过良种良法配套实现大豆亩产301.8kg。2024年，该技术在岐山县凤鸣镇孝陵村实现大豆百亩实收亩产294.2kg。近三年，该技术在陇县、陈仓、岐山、扶风、金台、凤翔、渭南、商洛、安康、汉中等市县区逐步推广示范并从关中西部地区向关中东部、陕南和部分陕北地区发展</w:t>
      </w:r>
      <w:r>
        <w:rPr>
          <w:rFonts w:ascii="仿宋" w:hAnsi="仿宋" w:eastAsia="仿宋" w:cs="楷体_GB2312"/>
          <w:color w:val="000000" w:themeColor="text1"/>
          <w:sz w:val="28"/>
          <w:szCs w:val="28"/>
          <w14:textFill>
            <w14:solidFill>
              <w14:schemeClr w14:val="tx1"/>
            </w14:solidFill>
          </w14:textFill>
        </w:rPr>
        <w:t>，</w:t>
      </w:r>
      <w:r>
        <w:rPr>
          <w:rFonts w:hint="eastAsia" w:ascii="仿宋" w:hAnsi="仿宋" w:eastAsia="仿宋" w:cs="楷体_GB2312"/>
          <w:color w:val="000000" w:themeColor="text1"/>
          <w:sz w:val="28"/>
          <w:szCs w:val="28"/>
          <w14:textFill>
            <w14:solidFill>
              <w14:schemeClr w14:val="tx1"/>
            </w14:solidFill>
          </w14:textFill>
        </w:rPr>
        <w:t>应用前景广阔</w:t>
      </w:r>
      <w:r>
        <w:rPr>
          <w:rFonts w:ascii="仿宋" w:hAnsi="仿宋" w:eastAsia="仿宋" w:cs="楷体_GB2312"/>
          <w:color w:val="000000" w:themeColor="text1"/>
          <w:sz w:val="28"/>
          <w:szCs w:val="28"/>
          <w14:textFill>
            <w14:solidFill>
              <w14:schemeClr w14:val="tx1"/>
            </w14:solidFill>
          </w14:textFill>
        </w:rPr>
        <w:t>。</w:t>
      </w:r>
    </w:p>
    <w:p w14:paraId="3D653A6D">
      <w:pPr>
        <w:snapToGrid w:val="0"/>
        <w:spacing w:line="600" w:lineRule="exact"/>
        <w:ind w:firstLine="640"/>
        <w:rPr>
          <w:rFonts w:ascii="楷体" w:hAnsi="楷体" w:eastAsia="楷体" w:cs="楷体_GB2312"/>
          <w:b/>
          <w:color w:val="000000" w:themeColor="text1"/>
          <w:sz w:val="32"/>
          <w:szCs w:val="32"/>
          <w14:textFill>
            <w14:solidFill>
              <w14:schemeClr w14:val="tx1"/>
            </w14:solidFill>
          </w14:textFill>
        </w:rPr>
      </w:pPr>
      <w:r>
        <w:rPr>
          <w:rFonts w:hint="eastAsia" w:ascii="楷体" w:hAnsi="楷体" w:eastAsia="楷体" w:cs="楷体_GB2312"/>
          <w:b/>
          <w:color w:val="000000" w:themeColor="text1"/>
          <w:sz w:val="32"/>
          <w:szCs w:val="32"/>
          <w14:textFill>
            <w14:solidFill>
              <w14:schemeClr w14:val="tx1"/>
            </w14:solidFill>
          </w14:textFill>
        </w:rPr>
        <w:t>（三）提质增效情况</w:t>
      </w:r>
    </w:p>
    <w:p w14:paraId="6DC38FA6">
      <w:pPr>
        <w:snapToGrid w:val="0"/>
        <w:spacing w:line="600" w:lineRule="exact"/>
        <w:ind w:firstLine="640"/>
        <w:rPr>
          <w:rFonts w:ascii="仿宋" w:hAnsi="仿宋" w:eastAsia="仿宋" w:cs="楷体_GB2312"/>
          <w:color w:val="000000" w:themeColor="text1"/>
          <w:sz w:val="28"/>
          <w:szCs w:val="28"/>
          <w14:textFill>
            <w14:solidFill>
              <w14:schemeClr w14:val="tx1"/>
            </w14:solidFill>
          </w14:textFill>
        </w:rPr>
      </w:pPr>
      <w:r>
        <w:rPr>
          <w:rFonts w:hint="eastAsia" w:ascii="仿宋" w:hAnsi="仿宋" w:eastAsia="仿宋" w:cs="楷体_GB2312"/>
          <w:color w:val="000000" w:themeColor="text1"/>
          <w:sz w:val="28"/>
          <w:szCs w:val="28"/>
          <w14:textFill>
            <w14:solidFill>
              <w14:schemeClr w14:val="tx1"/>
            </w14:solidFill>
          </w14:textFill>
        </w:rPr>
        <w:t>和传统夏大豆种植技术相比（行距30</w:t>
      </w:r>
      <w:r>
        <w:rPr>
          <w:rFonts w:ascii="仿宋" w:hAnsi="仿宋" w:eastAsia="仿宋" w:cs="楷体_GB2312"/>
          <w:color w:val="000000" w:themeColor="text1"/>
          <w:sz w:val="28"/>
          <w:szCs w:val="28"/>
          <w14:textFill>
            <w14:solidFill>
              <w14:schemeClr w14:val="tx1"/>
            </w14:solidFill>
          </w14:textFill>
        </w:rPr>
        <w:t xml:space="preserve"> </w:t>
      </w:r>
      <w:r>
        <w:rPr>
          <w:rFonts w:hint="eastAsia" w:ascii="仿宋" w:hAnsi="仿宋" w:eastAsia="仿宋" w:cs="楷体_GB2312"/>
          <w:color w:val="000000" w:themeColor="text1"/>
          <w:sz w:val="28"/>
          <w:szCs w:val="28"/>
          <w14:textFill>
            <w14:solidFill>
              <w14:schemeClr w14:val="tx1"/>
            </w14:solidFill>
          </w14:textFill>
        </w:rPr>
        <w:t>cm</w:t>
      </w:r>
      <w:r>
        <w:rPr>
          <w:rFonts w:ascii="仿宋" w:hAnsi="仿宋" w:eastAsia="仿宋" w:cs="楷体_GB2312"/>
          <w:bCs/>
          <w:color w:val="000000" w:themeColor="text1"/>
          <w:sz w:val="28"/>
          <w:szCs w:val="28"/>
          <w14:textFill>
            <w14:solidFill>
              <w14:schemeClr w14:val="tx1"/>
            </w14:solidFill>
          </w14:textFill>
        </w:rPr>
        <w:t>～</w:t>
      </w:r>
      <w:r>
        <w:rPr>
          <w:rFonts w:hint="eastAsia" w:ascii="仿宋" w:hAnsi="仿宋" w:eastAsia="仿宋" w:cs="楷体_GB2312"/>
          <w:color w:val="000000" w:themeColor="text1"/>
          <w:sz w:val="28"/>
          <w:szCs w:val="28"/>
          <w14:textFill>
            <w14:solidFill>
              <w14:schemeClr w14:val="tx1"/>
            </w14:solidFill>
          </w14:textFill>
        </w:rPr>
        <w:t>40</w:t>
      </w:r>
      <w:r>
        <w:rPr>
          <w:rFonts w:ascii="仿宋" w:hAnsi="仿宋" w:eastAsia="仿宋" w:cs="楷体_GB2312"/>
          <w:color w:val="000000" w:themeColor="text1"/>
          <w:sz w:val="28"/>
          <w:szCs w:val="28"/>
          <w14:textFill>
            <w14:solidFill>
              <w14:schemeClr w14:val="tx1"/>
            </w14:solidFill>
          </w14:textFill>
        </w:rPr>
        <w:t xml:space="preserve"> </w:t>
      </w:r>
      <w:r>
        <w:rPr>
          <w:rFonts w:hint="eastAsia" w:ascii="仿宋" w:hAnsi="仿宋" w:eastAsia="仿宋" w:cs="楷体_GB2312"/>
          <w:color w:val="000000" w:themeColor="text1"/>
          <w:sz w:val="28"/>
          <w:szCs w:val="28"/>
          <w14:textFill>
            <w14:solidFill>
              <w14:schemeClr w14:val="tx1"/>
            </w14:solidFill>
          </w14:textFill>
        </w:rPr>
        <w:t>cm，密度1万株/亩左右），夏大豆单产可提高4</w:t>
      </w:r>
      <w:r>
        <w:rPr>
          <w:rFonts w:ascii="仿宋" w:hAnsi="仿宋" w:eastAsia="仿宋" w:cs="楷体_GB2312"/>
          <w:color w:val="000000" w:themeColor="text1"/>
          <w:sz w:val="28"/>
          <w:szCs w:val="28"/>
          <w14:textFill>
            <w14:solidFill>
              <w14:schemeClr w14:val="tx1"/>
            </w14:solidFill>
          </w14:textFill>
        </w:rPr>
        <w:t>0 kg以上，亩减少劳动力投入</w:t>
      </w:r>
      <w:r>
        <w:rPr>
          <w:rFonts w:hint="eastAsia" w:ascii="仿宋" w:hAnsi="仿宋" w:eastAsia="仿宋" w:cs="楷体_GB2312"/>
          <w:color w:val="000000" w:themeColor="text1"/>
          <w:sz w:val="28"/>
          <w:szCs w:val="28"/>
          <w14:textFill>
            <w14:solidFill>
              <w14:schemeClr w14:val="tx1"/>
            </w14:solidFill>
          </w14:textFill>
        </w:rPr>
        <w:t>10</w:t>
      </w:r>
      <w:r>
        <w:rPr>
          <w:rFonts w:ascii="仿宋" w:hAnsi="仿宋" w:eastAsia="仿宋" w:cs="楷体_GB2312"/>
          <w:color w:val="000000" w:themeColor="text1"/>
          <w:sz w:val="28"/>
          <w:szCs w:val="28"/>
          <w14:textFill>
            <w14:solidFill>
              <w14:schemeClr w14:val="tx1"/>
            </w14:solidFill>
          </w14:textFill>
        </w:rPr>
        <w:t>个</w:t>
      </w:r>
      <w:r>
        <w:rPr>
          <w:rFonts w:hint="eastAsia" w:ascii="仿宋" w:hAnsi="仿宋" w:eastAsia="仿宋" w:cs="楷体_GB2312"/>
          <w:color w:val="000000" w:themeColor="text1"/>
          <w:sz w:val="28"/>
          <w:szCs w:val="28"/>
          <w14:textFill>
            <w14:solidFill>
              <w14:schemeClr w14:val="tx1"/>
            </w14:solidFill>
          </w14:textFill>
        </w:rPr>
        <w:t>左右</w:t>
      </w:r>
      <w:r>
        <w:rPr>
          <w:rFonts w:ascii="仿宋" w:hAnsi="仿宋" w:eastAsia="仿宋" w:cs="楷体_GB2312"/>
          <w:color w:val="000000" w:themeColor="text1"/>
          <w:sz w:val="28"/>
          <w:szCs w:val="28"/>
          <w14:textFill>
            <w14:solidFill>
              <w14:schemeClr w14:val="tx1"/>
            </w14:solidFill>
          </w14:textFill>
        </w:rPr>
        <w:t>，亩节本</w:t>
      </w:r>
      <w:r>
        <w:rPr>
          <w:rFonts w:hint="eastAsia" w:ascii="仿宋" w:hAnsi="仿宋" w:eastAsia="仿宋" w:cs="楷体_GB2312"/>
          <w:color w:val="000000" w:themeColor="text1"/>
          <w:sz w:val="28"/>
          <w:szCs w:val="28"/>
          <w14:textFill>
            <w14:solidFill>
              <w14:schemeClr w14:val="tx1"/>
            </w14:solidFill>
          </w14:textFill>
        </w:rPr>
        <w:t>增效</w:t>
      </w:r>
      <w:r>
        <w:rPr>
          <w:rFonts w:ascii="仿宋" w:hAnsi="仿宋" w:eastAsia="仿宋" w:cs="楷体_GB2312"/>
          <w:color w:val="000000" w:themeColor="text1"/>
          <w:sz w:val="28"/>
          <w:szCs w:val="28"/>
          <w14:textFill>
            <w14:solidFill>
              <w14:schemeClr w14:val="tx1"/>
            </w14:solidFill>
          </w14:textFill>
        </w:rPr>
        <w:t>可达</w:t>
      </w:r>
      <w:r>
        <w:rPr>
          <w:rFonts w:hint="eastAsia" w:ascii="仿宋" w:hAnsi="仿宋" w:eastAsia="仿宋" w:cs="楷体_GB2312"/>
          <w:color w:val="000000" w:themeColor="text1"/>
          <w:sz w:val="28"/>
          <w:szCs w:val="28"/>
          <w14:textFill>
            <w14:solidFill>
              <w14:schemeClr w14:val="tx1"/>
            </w14:solidFill>
          </w14:textFill>
        </w:rPr>
        <w:t>760</w:t>
      </w:r>
      <w:r>
        <w:rPr>
          <w:rFonts w:ascii="仿宋" w:hAnsi="仿宋" w:eastAsia="仿宋" w:cs="楷体_GB2312"/>
          <w:color w:val="000000" w:themeColor="text1"/>
          <w:sz w:val="28"/>
          <w:szCs w:val="28"/>
          <w14:textFill>
            <w14:solidFill>
              <w14:schemeClr w14:val="tx1"/>
            </w14:solidFill>
          </w14:textFill>
        </w:rPr>
        <w:t>元。</w:t>
      </w:r>
    </w:p>
    <w:p w14:paraId="48795B06">
      <w:pPr>
        <w:snapToGrid w:val="0"/>
        <w:spacing w:line="600" w:lineRule="exact"/>
        <w:ind w:firstLine="643" w:firstLineChars="200"/>
        <w:rPr>
          <w:rFonts w:ascii="楷体" w:hAnsi="楷体" w:eastAsia="楷体" w:cs="楷体_GB2312"/>
          <w:b/>
          <w:color w:val="000000" w:themeColor="text1"/>
          <w:sz w:val="32"/>
          <w:szCs w:val="32"/>
          <w14:textFill>
            <w14:solidFill>
              <w14:schemeClr w14:val="tx1"/>
            </w14:solidFill>
          </w14:textFill>
        </w:rPr>
      </w:pPr>
      <w:r>
        <w:rPr>
          <w:rFonts w:hint="eastAsia" w:ascii="楷体" w:hAnsi="楷体" w:eastAsia="楷体" w:cs="楷体_GB2312"/>
          <w:b/>
          <w:color w:val="000000" w:themeColor="text1"/>
          <w:sz w:val="32"/>
          <w:szCs w:val="32"/>
          <w14:textFill>
            <w14:solidFill>
              <w14:schemeClr w14:val="tx1"/>
            </w14:solidFill>
          </w14:textFill>
        </w:rPr>
        <w:t>（四）技术获奖情况</w:t>
      </w:r>
    </w:p>
    <w:p w14:paraId="1F082ADA">
      <w:pPr>
        <w:snapToGrid w:val="0"/>
        <w:spacing w:line="60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未申报科技奖励。</w:t>
      </w:r>
    </w:p>
    <w:p w14:paraId="6B54E335">
      <w:pPr>
        <w:snapToGrid w:val="0"/>
        <w:spacing w:line="600" w:lineRule="exact"/>
        <w:ind w:firstLine="640" w:firstLineChars="200"/>
        <w:rPr>
          <w:rFonts w:ascii="黑体" w:hAnsi="黑体" w:eastAsia="黑体"/>
          <w:color w:val="000000" w:themeColor="text1"/>
          <w:sz w:val="32"/>
          <w:szCs w:val="32"/>
          <w14:textFill>
            <w14:solidFill>
              <w14:schemeClr w14:val="tx1"/>
            </w14:solidFill>
          </w14:textFill>
        </w:rPr>
      </w:pPr>
      <w:r>
        <w:rPr>
          <w:rFonts w:ascii="黑体" w:hAnsi="黑体" w:eastAsia="黑体"/>
          <w:color w:val="000000" w:themeColor="text1"/>
          <w:sz w:val="32"/>
          <w:szCs w:val="32"/>
          <w14:textFill>
            <w14:solidFill>
              <w14:schemeClr w14:val="tx1"/>
            </w14:solidFill>
          </w14:textFill>
        </w:rPr>
        <w:t>二、技术要点</w:t>
      </w:r>
    </w:p>
    <w:p w14:paraId="3978EF8E">
      <w:pPr>
        <w:snapToGrid w:val="0"/>
        <w:spacing w:line="600" w:lineRule="exact"/>
        <w:ind w:firstLine="643" w:firstLineChars="200"/>
        <w:rPr>
          <w:rFonts w:ascii="楷体" w:hAnsi="楷体" w:eastAsia="楷体" w:cs="楷体_GB2312"/>
          <w:b/>
          <w:bCs/>
          <w:color w:val="000000" w:themeColor="text1"/>
          <w:sz w:val="32"/>
          <w:szCs w:val="32"/>
          <w14:textFill>
            <w14:solidFill>
              <w14:schemeClr w14:val="tx1"/>
            </w14:solidFill>
          </w14:textFill>
        </w:rPr>
      </w:pPr>
      <w:r>
        <w:rPr>
          <w:rFonts w:hint="eastAsia" w:ascii="楷体" w:hAnsi="楷体" w:eastAsia="楷体" w:cs="楷体_GB2312"/>
          <w:b/>
          <w:bCs/>
          <w:color w:val="000000" w:themeColor="text1"/>
          <w:sz w:val="32"/>
          <w:szCs w:val="32"/>
          <w14:textFill>
            <w14:solidFill>
              <w14:schemeClr w14:val="tx1"/>
            </w14:solidFill>
          </w14:textFill>
        </w:rPr>
        <w:t>（一）品种选择</w:t>
      </w:r>
    </w:p>
    <w:p w14:paraId="7AB9ABFC">
      <w:pPr>
        <w:snapToGrid w:val="0"/>
        <w:spacing w:line="600" w:lineRule="exact"/>
        <w:ind w:firstLine="640" w:firstLineChars="200"/>
        <w:rPr>
          <w:rFonts w:ascii="仿宋" w:hAnsi="仿宋" w:eastAsia="仿宋" w:cs="楷体_GB2312"/>
          <w:bCs/>
          <w:color w:val="000000" w:themeColor="text1"/>
          <w:sz w:val="32"/>
          <w:szCs w:val="32"/>
          <w14:textFill>
            <w14:solidFill>
              <w14:schemeClr w14:val="tx1"/>
            </w14:solidFill>
          </w14:textFill>
        </w:rPr>
      </w:pPr>
      <w:r>
        <w:rPr>
          <w:rFonts w:hint="eastAsia" w:ascii="仿宋" w:hAnsi="仿宋" w:eastAsia="仿宋" w:cs="楷体_GB2312"/>
          <w:bCs/>
          <w:color w:val="000000" w:themeColor="text1"/>
          <w:sz w:val="32"/>
          <w:szCs w:val="32"/>
          <w14:textFill>
            <w14:solidFill>
              <w14:schemeClr w14:val="tx1"/>
            </w14:solidFill>
          </w14:textFill>
        </w:rPr>
        <w:t>因地制宜选择优质高产、熟期适宜、抗逆性强的品种。</w:t>
      </w:r>
    </w:p>
    <w:p w14:paraId="1022D2E0">
      <w:pPr>
        <w:snapToGrid w:val="0"/>
        <w:spacing w:line="600" w:lineRule="exact"/>
        <w:ind w:firstLine="643" w:firstLineChars="200"/>
        <w:rPr>
          <w:rFonts w:ascii="楷体" w:hAnsi="楷体" w:eastAsia="楷体" w:cs="楷体_GB2312"/>
          <w:b/>
          <w:bCs/>
          <w:color w:val="000000" w:themeColor="text1"/>
          <w:sz w:val="32"/>
          <w:szCs w:val="32"/>
          <w14:textFill>
            <w14:solidFill>
              <w14:schemeClr w14:val="tx1"/>
            </w14:solidFill>
          </w14:textFill>
        </w:rPr>
      </w:pPr>
      <w:r>
        <w:rPr>
          <w:rFonts w:hint="eastAsia" w:ascii="楷体" w:hAnsi="楷体" w:eastAsia="楷体" w:cs="楷体_GB2312"/>
          <w:b/>
          <w:bCs/>
          <w:color w:val="000000" w:themeColor="text1"/>
          <w:sz w:val="32"/>
          <w:szCs w:val="32"/>
          <w14:textFill>
            <w14:solidFill>
              <w14:schemeClr w14:val="tx1"/>
            </w14:solidFill>
          </w14:textFill>
        </w:rPr>
        <w:t>（二）播前准备</w:t>
      </w:r>
    </w:p>
    <w:p w14:paraId="514ABF1C">
      <w:pPr>
        <w:snapToGrid w:val="0"/>
        <w:spacing w:line="600" w:lineRule="exact"/>
        <w:ind w:firstLine="560" w:firstLineChars="200"/>
        <w:rPr>
          <w:rFonts w:ascii="仿宋" w:hAnsi="仿宋" w:eastAsia="仿宋" w:cs="楷体_GB2312"/>
          <w:bCs/>
          <w:color w:val="000000" w:themeColor="text1"/>
          <w:sz w:val="28"/>
          <w:szCs w:val="28"/>
          <w14:textFill>
            <w14:solidFill>
              <w14:schemeClr w14:val="tx1"/>
            </w14:solidFill>
          </w14:textFill>
        </w:rPr>
      </w:pPr>
      <w:r>
        <w:rPr>
          <w:rFonts w:hint="eastAsia" w:ascii="仿宋" w:hAnsi="仿宋" w:eastAsia="仿宋" w:cs="楷体_GB2312"/>
          <w:bCs/>
          <w:color w:val="000000" w:themeColor="text1"/>
          <w:sz w:val="28"/>
          <w:szCs w:val="28"/>
          <w14:textFill>
            <w14:solidFill>
              <w14:schemeClr w14:val="tx1"/>
            </w14:solidFill>
          </w14:textFill>
        </w:rPr>
        <w:t>大豆对前茬的要求相当严格，重茬、迎茬会造成大豆减产或绝收，夏大豆最好的前茬是麦茬。前茬作物收获宜采用带有茎秆切碎和抛洒装置的联合收割机进行，割茬高度不大于</w:t>
      </w:r>
      <w:r>
        <w:rPr>
          <w:rFonts w:ascii="仿宋" w:hAnsi="仿宋" w:eastAsia="仿宋" w:cs="楷体_GB2312"/>
          <w:bCs/>
          <w:color w:val="000000" w:themeColor="text1"/>
          <w:sz w:val="28"/>
          <w:szCs w:val="28"/>
          <w14:textFill>
            <w14:solidFill>
              <w14:schemeClr w14:val="tx1"/>
            </w14:solidFill>
          </w14:textFill>
        </w:rPr>
        <w:t>15 cm，秸秆粉碎合格率不小于95 %，抛洒不均匀率不大于20 %。</w:t>
      </w:r>
    </w:p>
    <w:p w14:paraId="2949EE5D">
      <w:pPr>
        <w:snapToGrid w:val="0"/>
        <w:spacing w:line="600" w:lineRule="exact"/>
        <w:ind w:firstLine="643" w:firstLineChars="200"/>
        <w:rPr>
          <w:rFonts w:ascii="楷体" w:hAnsi="楷体" w:eastAsia="楷体" w:cs="楷体_GB2312"/>
          <w:b/>
          <w:bCs/>
          <w:color w:val="000000" w:themeColor="text1"/>
          <w:sz w:val="32"/>
          <w:szCs w:val="32"/>
          <w14:textFill>
            <w14:solidFill>
              <w14:schemeClr w14:val="tx1"/>
            </w14:solidFill>
          </w14:textFill>
        </w:rPr>
      </w:pPr>
      <w:r>
        <w:rPr>
          <w:rFonts w:hint="eastAsia" w:ascii="楷体" w:hAnsi="楷体" w:eastAsia="楷体" w:cs="楷体_GB2312"/>
          <w:b/>
          <w:bCs/>
          <w:color w:val="000000" w:themeColor="text1"/>
          <w:sz w:val="32"/>
          <w:szCs w:val="32"/>
          <w14:textFill>
            <w14:solidFill>
              <w14:schemeClr w14:val="tx1"/>
            </w14:solidFill>
          </w14:textFill>
        </w:rPr>
        <w:t>（三）种子包衣</w:t>
      </w:r>
    </w:p>
    <w:p w14:paraId="58EE8569">
      <w:pPr>
        <w:snapToGrid w:val="0"/>
        <w:spacing w:line="600" w:lineRule="exact"/>
        <w:ind w:firstLine="560" w:firstLineChars="200"/>
        <w:rPr>
          <w:rFonts w:ascii="仿宋" w:hAnsi="仿宋" w:eastAsia="仿宋" w:cs="楷体_GB2312"/>
          <w:bCs/>
          <w:color w:val="000000" w:themeColor="text1"/>
          <w:sz w:val="28"/>
          <w:szCs w:val="28"/>
          <w14:textFill>
            <w14:solidFill>
              <w14:schemeClr w14:val="tx1"/>
            </w14:solidFill>
          </w14:textFill>
        </w:rPr>
      </w:pPr>
      <w:r>
        <w:rPr>
          <w:rFonts w:hint="eastAsia" w:ascii="仿宋" w:hAnsi="仿宋" w:eastAsia="仿宋" w:cs="楷体_GB2312"/>
          <w:bCs/>
          <w:color w:val="000000" w:themeColor="text1"/>
          <w:sz w:val="28"/>
          <w:szCs w:val="28"/>
          <w14:textFill>
            <w14:solidFill>
              <w14:schemeClr w14:val="tx1"/>
            </w14:solidFill>
          </w14:textFill>
        </w:rPr>
        <w:t>大豆种子包衣防病技术是一种成本较低的精准施药技术。它使农药附着在大豆种子上，可有效抑制和防治种子内部及外部病菌，保护种子及幼苗免受土壤中害虫及病菌的侵害。</w:t>
      </w:r>
    </w:p>
    <w:p w14:paraId="38D22D2C">
      <w:pPr>
        <w:snapToGrid w:val="0"/>
        <w:spacing w:line="600" w:lineRule="exact"/>
        <w:ind w:firstLine="560" w:firstLineChars="200"/>
        <w:rPr>
          <w:rFonts w:ascii="仿宋" w:hAnsi="仿宋" w:eastAsia="仿宋" w:cs="楷体_GB2312"/>
          <w:bCs/>
          <w:color w:val="000000" w:themeColor="text1"/>
          <w:sz w:val="28"/>
          <w:szCs w:val="28"/>
          <w14:textFill>
            <w14:solidFill>
              <w14:schemeClr w14:val="tx1"/>
            </w14:solidFill>
          </w14:textFill>
        </w:rPr>
      </w:pPr>
      <w:r>
        <w:rPr>
          <w:rFonts w:hint="eastAsia" w:ascii="仿宋" w:hAnsi="仿宋" w:eastAsia="仿宋" w:cs="楷体_GB2312"/>
          <w:bCs/>
          <w:color w:val="000000" w:themeColor="text1"/>
          <w:sz w:val="28"/>
          <w:szCs w:val="28"/>
          <w14:textFill>
            <w14:solidFill>
              <w14:schemeClr w14:val="tx1"/>
            </w14:solidFill>
          </w14:textFill>
        </w:rPr>
        <w:t>夏大豆播种前一般选用</w:t>
      </w:r>
      <w:r>
        <w:rPr>
          <w:rFonts w:ascii="仿宋" w:hAnsi="仿宋" w:eastAsia="仿宋" w:cs="楷体_GB2312"/>
          <w:bCs/>
          <w:color w:val="000000" w:themeColor="text1"/>
          <w:sz w:val="28"/>
          <w:szCs w:val="28"/>
          <w14:textFill>
            <w14:solidFill>
              <w14:schemeClr w14:val="tx1"/>
            </w14:solidFill>
          </w14:textFill>
        </w:rPr>
        <w:t>62.5%精甲霜灵·咯菌腈悬浮种衣剂、30%噻虫嗪悬浮种衣剂</w:t>
      </w:r>
      <w:r>
        <w:rPr>
          <w:rFonts w:hint="eastAsia" w:ascii="仿宋" w:hAnsi="仿宋" w:eastAsia="仿宋" w:cs="楷体_GB2312"/>
          <w:bCs/>
          <w:color w:val="000000" w:themeColor="text1"/>
          <w:sz w:val="28"/>
          <w:szCs w:val="28"/>
          <w14:textFill>
            <w14:solidFill>
              <w14:schemeClr w14:val="tx1"/>
            </w14:solidFill>
          </w14:textFill>
        </w:rPr>
        <w:t>，</w:t>
      </w:r>
      <w:r>
        <w:rPr>
          <w:rFonts w:ascii="仿宋" w:hAnsi="仿宋" w:eastAsia="仿宋" w:cs="楷体_GB2312"/>
          <w:bCs/>
          <w:color w:val="000000" w:themeColor="text1"/>
          <w:sz w:val="28"/>
          <w:szCs w:val="28"/>
          <w14:textFill>
            <w14:solidFill>
              <w14:schemeClr w14:val="tx1"/>
            </w14:solidFill>
          </w14:textFill>
        </w:rPr>
        <w:t>或25%噻虫嗪·精甲·咯菌腈种衣剂进行种子包衣。播种前1～3周完成包衣，药种比1.5～2 ml:1 kg,先将包衣剂按1：60的比例稀释，然后用机械对种子进行包衣，直至将种子颜色拌匀为止。种子药剂包衣后，需彻底阴干方可播种。</w:t>
      </w:r>
    </w:p>
    <w:p w14:paraId="6F148370">
      <w:pPr>
        <w:snapToGrid w:val="0"/>
        <w:spacing w:line="600" w:lineRule="exact"/>
        <w:jc w:val="center"/>
        <w:rPr>
          <w:rFonts w:ascii="仿宋" w:hAnsi="仿宋" w:eastAsia="仿宋" w:cs="楷体_GB2312"/>
          <w:b/>
          <w:bCs/>
          <w:color w:val="000000" w:themeColor="text1"/>
          <w:sz w:val="28"/>
          <w:szCs w:val="28"/>
          <w14:textFill>
            <w14:solidFill>
              <w14:schemeClr w14:val="tx1"/>
            </w14:solidFill>
          </w14:textFill>
        </w:rPr>
      </w:pPr>
      <w:r>
        <w:rPr>
          <w:rFonts w:ascii="仿宋" w:hAnsi="仿宋" w:eastAsia="仿宋" w:cs="楷体_GB2312"/>
          <w:bCs/>
          <w:color w:val="000000" w:themeColor="text1"/>
          <w:sz w:val="28"/>
          <w:szCs w:val="28"/>
          <w14:textFill>
            <w14:solidFill>
              <w14:schemeClr w14:val="tx1"/>
            </w14:solidFill>
          </w14:textFill>
        </w:rPr>
        <w:drawing>
          <wp:anchor distT="0" distB="0" distL="114300" distR="114300" simplePos="0" relativeHeight="251661312" behindDoc="1" locked="0" layoutInCell="1" allowOverlap="1">
            <wp:simplePos x="0" y="0"/>
            <wp:positionH relativeFrom="column">
              <wp:posOffset>95250</wp:posOffset>
            </wp:positionH>
            <wp:positionV relativeFrom="paragraph">
              <wp:posOffset>330200</wp:posOffset>
            </wp:positionV>
            <wp:extent cx="5003800" cy="2349500"/>
            <wp:effectExtent l="0" t="0" r="6350" b="0"/>
            <wp:wrapTight wrapText="bothSides">
              <wp:wrapPolygon>
                <wp:start x="0" y="0"/>
                <wp:lineTo x="0" y="21366"/>
                <wp:lineTo x="21545" y="21366"/>
                <wp:lineTo x="21545" y="0"/>
                <wp:lineTo x="0" y="0"/>
              </wp:wrapPolygon>
            </wp:wrapTight>
            <wp:docPr id="1" name="图片 1" descr="D:\工作\2024\6试验照片\20240709照片\IMG_20240412_10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工作\2024\6试验照片\20240709照片\IMG_20240412_10402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003800" cy="2349500"/>
                    </a:xfrm>
                    <a:prstGeom prst="rect">
                      <a:avLst/>
                    </a:prstGeom>
                    <a:noFill/>
                    <a:ln>
                      <a:noFill/>
                    </a:ln>
                  </pic:spPr>
                </pic:pic>
              </a:graphicData>
            </a:graphic>
          </wp:anchor>
        </w:drawing>
      </w:r>
      <w:r>
        <w:rPr>
          <w:rFonts w:hint="eastAsia" w:ascii="仿宋" w:hAnsi="仿宋" w:eastAsia="仿宋" w:cs="楷体_GB2312"/>
          <w:b/>
          <w:bCs/>
          <w:color w:val="000000" w:themeColor="text1"/>
          <w:sz w:val="28"/>
          <w:szCs w:val="28"/>
          <w14:textFill>
            <w14:solidFill>
              <w14:schemeClr w14:val="tx1"/>
            </w14:solidFill>
          </w14:textFill>
        </w:rPr>
        <w:t>大豆种子包衣</w:t>
      </w:r>
    </w:p>
    <w:p w14:paraId="091763A7">
      <w:pPr>
        <w:snapToGrid w:val="0"/>
        <w:spacing w:line="600" w:lineRule="exact"/>
        <w:ind w:firstLine="643" w:firstLineChars="200"/>
        <w:rPr>
          <w:rFonts w:ascii="楷体" w:hAnsi="楷体" w:eastAsia="楷体" w:cs="楷体_GB2312"/>
          <w:b/>
          <w:bCs/>
          <w:color w:val="000000" w:themeColor="text1"/>
          <w:sz w:val="32"/>
          <w:szCs w:val="32"/>
          <w14:textFill>
            <w14:solidFill>
              <w14:schemeClr w14:val="tx1"/>
            </w14:solidFill>
          </w14:textFill>
        </w:rPr>
      </w:pPr>
      <w:r>
        <w:rPr>
          <w:rFonts w:hint="eastAsia" w:ascii="楷体" w:hAnsi="楷体" w:eastAsia="楷体" w:cs="楷体_GB2312"/>
          <w:b/>
          <w:bCs/>
          <w:color w:val="000000" w:themeColor="text1"/>
          <w:sz w:val="32"/>
          <w:szCs w:val="32"/>
          <w14:textFill>
            <w14:solidFill>
              <w14:schemeClr w14:val="tx1"/>
            </w14:solidFill>
          </w14:textFill>
        </w:rPr>
        <w:t>（四）机械化播种</w:t>
      </w:r>
    </w:p>
    <w:p w14:paraId="08638718">
      <w:pPr>
        <w:snapToGrid w:val="0"/>
        <w:spacing w:line="600" w:lineRule="exact"/>
        <w:ind w:firstLine="562" w:firstLineChars="200"/>
        <w:rPr>
          <w:rFonts w:ascii="仿宋" w:hAnsi="仿宋" w:eastAsia="仿宋" w:cs="楷体_GB2312"/>
          <w:b/>
          <w:bCs/>
          <w:color w:val="000000" w:themeColor="text1"/>
          <w:sz w:val="28"/>
          <w:szCs w:val="28"/>
          <w14:textFill>
            <w14:solidFill>
              <w14:schemeClr w14:val="tx1"/>
            </w14:solidFill>
          </w14:textFill>
        </w:rPr>
      </w:pPr>
      <w:r>
        <w:rPr>
          <w:rFonts w:ascii="仿宋" w:hAnsi="仿宋" w:eastAsia="仿宋" w:cs="楷体_GB2312"/>
          <w:b/>
          <w:bCs/>
          <w:color w:val="000000" w:themeColor="text1"/>
          <w:sz w:val="28"/>
          <w:szCs w:val="28"/>
          <w14:textFill>
            <w14:solidFill>
              <w14:schemeClr w14:val="tx1"/>
            </w14:solidFill>
          </w14:textFill>
        </w:rPr>
        <w:t>1</w:t>
      </w:r>
      <w:r>
        <w:rPr>
          <w:rFonts w:hint="eastAsia" w:ascii="仿宋" w:hAnsi="仿宋" w:eastAsia="仿宋" w:cs="楷体_GB2312"/>
          <w:b/>
          <w:bCs/>
          <w:color w:val="000000" w:themeColor="text1"/>
          <w:sz w:val="28"/>
          <w:szCs w:val="28"/>
          <w14:textFill>
            <w14:solidFill>
              <w14:schemeClr w14:val="tx1"/>
            </w14:solidFill>
          </w14:textFill>
        </w:rPr>
        <w:t>、</w:t>
      </w:r>
      <w:r>
        <w:rPr>
          <w:rFonts w:ascii="仿宋" w:hAnsi="仿宋" w:eastAsia="仿宋" w:cs="楷体_GB2312"/>
          <w:b/>
          <w:bCs/>
          <w:color w:val="000000" w:themeColor="text1"/>
          <w:sz w:val="28"/>
          <w:szCs w:val="28"/>
          <w14:textFill>
            <w14:solidFill>
              <w14:schemeClr w14:val="tx1"/>
            </w14:solidFill>
          </w14:textFill>
        </w:rPr>
        <w:t>播种期</w:t>
      </w:r>
    </w:p>
    <w:p w14:paraId="1A2F3343">
      <w:pPr>
        <w:snapToGrid w:val="0"/>
        <w:spacing w:line="600" w:lineRule="exact"/>
        <w:ind w:firstLine="560" w:firstLineChars="200"/>
        <w:rPr>
          <w:rFonts w:ascii="仿宋" w:hAnsi="仿宋" w:eastAsia="仿宋" w:cs="楷体_GB2312"/>
          <w:bCs/>
          <w:color w:val="000000" w:themeColor="text1"/>
          <w:sz w:val="28"/>
          <w:szCs w:val="28"/>
          <w14:textFill>
            <w14:solidFill>
              <w14:schemeClr w14:val="tx1"/>
            </w14:solidFill>
          </w14:textFill>
        </w:rPr>
      </w:pPr>
      <w:r>
        <w:rPr>
          <w:rFonts w:hint="eastAsia" w:ascii="仿宋" w:hAnsi="仿宋" w:eastAsia="仿宋" w:cs="楷体_GB2312"/>
          <w:bCs/>
          <w:color w:val="000000" w:themeColor="text1"/>
          <w:sz w:val="28"/>
          <w:szCs w:val="28"/>
          <w14:textFill>
            <w14:solidFill>
              <w14:schemeClr w14:val="tx1"/>
            </w14:solidFill>
          </w14:textFill>
        </w:rPr>
        <w:t>前茬作物收获后及时播种，一般不晚于</w:t>
      </w:r>
      <w:r>
        <w:rPr>
          <w:rFonts w:ascii="仿宋" w:hAnsi="仿宋" w:eastAsia="仿宋" w:cs="楷体_GB2312"/>
          <w:bCs/>
          <w:color w:val="000000" w:themeColor="text1"/>
          <w:sz w:val="28"/>
          <w:szCs w:val="28"/>
          <w14:textFill>
            <w14:solidFill>
              <w14:schemeClr w14:val="tx1"/>
            </w14:solidFill>
          </w14:textFill>
        </w:rPr>
        <w:t>6月20日。</w:t>
      </w:r>
    </w:p>
    <w:p w14:paraId="3DFD2851">
      <w:pPr>
        <w:snapToGrid w:val="0"/>
        <w:spacing w:line="600" w:lineRule="exact"/>
        <w:ind w:firstLine="562" w:firstLineChars="200"/>
        <w:rPr>
          <w:rFonts w:ascii="仿宋" w:hAnsi="仿宋" w:eastAsia="仿宋" w:cs="楷体_GB2312"/>
          <w:b/>
          <w:bCs/>
          <w:color w:val="000000" w:themeColor="text1"/>
          <w:sz w:val="28"/>
          <w:szCs w:val="28"/>
          <w14:textFill>
            <w14:solidFill>
              <w14:schemeClr w14:val="tx1"/>
            </w14:solidFill>
          </w14:textFill>
        </w:rPr>
      </w:pPr>
      <w:r>
        <w:rPr>
          <w:rFonts w:ascii="仿宋" w:hAnsi="仿宋" w:eastAsia="仿宋" w:cs="楷体_GB2312"/>
          <w:b/>
          <w:bCs/>
          <w:color w:val="000000" w:themeColor="text1"/>
          <w:sz w:val="28"/>
          <w:szCs w:val="28"/>
          <w14:textFill>
            <w14:solidFill>
              <w14:schemeClr w14:val="tx1"/>
            </w14:solidFill>
          </w14:textFill>
        </w:rPr>
        <w:t>2</w:t>
      </w:r>
      <w:r>
        <w:rPr>
          <w:rFonts w:hint="eastAsia" w:ascii="仿宋" w:hAnsi="仿宋" w:eastAsia="仿宋" w:cs="楷体_GB2312"/>
          <w:b/>
          <w:bCs/>
          <w:color w:val="000000" w:themeColor="text1"/>
          <w:sz w:val="28"/>
          <w:szCs w:val="28"/>
          <w14:textFill>
            <w14:solidFill>
              <w14:schemeClr w14:val="tx1"/>
            </w14:solidFill>
          </w14:textFill>
        </w:rPr>
        <w:t>、</w:t>
      </w:r>
      <w:r>
        <w:rPr>
          <w:rFonts w:ascii="仿宋" w:hAnsi="仿宋" w:eastAsia="仿宋" w:cs="楷体_GB2312"/>
          <w:b/>
          <w:bCs/>
          <w:color w:val="000000" w:themeColor="text1"/>
          <w:sz w:val="28"/>
          <w:szCs w:val="28"/>
          <w14:textFill>
            <w14:solidFill>
              <w14:schemeClr w14:val="tx1"/>
            </w14:solidFill>
          </w14:textFill>
        </w:rPr>
        <w:t>播种</w:t>
      </w:r>
    </w:p>
    <w:p w14:paraId="4EF30A75">
      <w:pPr>
        <w:snapToGrid w:val="0"/>
        <w:spacing w:line="600" w:lineRule="exact"/>
        <w:ind w:firstLine="560" w:firstLineChars="200"/>
        <w:rPr>
          <w:rFonts w:ascii="仿宋" w:hAnsi="仿宋" w:eastAsia="仿宋" w:cs="楷体_GB2312"/>
          <w:bCs/>
          <w:color w:val="000000" w:themeColor="text1"/>
          <w:sz w:val="28"/>
          <w:szCs w:val="28"/>
          <w14:textFill>
            <w14:solidFill>
              <w14:schemeClr w14:val="tx1"/>
            </w14:solidFill>
          </w14:textFill>
        </w:rPr>
      </w:pPr>
      <w:r>
        <w:rPr>
          <w:rFonts w:hint="eastAsia" w:ascii="仿宋" w:hAnsi="仿宋" w:eastAsia="仿宋" w:cs="楷体_GB2312"/>
          <w:bCs/>
          <w:color w:val="000000" w:themeColor="text1"/>
          <w:sz w:val="28"/>
          <w:szCs w:val="28"/>
          <w14:textFill>
            <w14:solidFill>
              <w14:schemeClr w14:val="tx1"/>
            </w14:solidFill>
          </w14:textFill>
        </w:rPr>
        <w:t>根据地力、水肥、光热资源等因素合理确定种植密度，行距</w:t>
      </w:r>
      <w:r>
        <w:rPr>
          <w:rFonts w:ascii="仿宋" w:hAnsi="仿宋" w:eastAsia="仿宋" w:cs="楷体_GB2312"/>
          <w:bCs/>
          <w:color w:val="000000" w:themeColor="text1"/>
          <w:sz w:val="28"/>
          <w:szCs w:val="28"/>
          <w14:textFill>
            <w14:solidFill>
              <w14:schemeClr w14:val="tx1"/>
            </w14:solidFill>
          </w14:textFill>
        </w:rPr>
        <w:t>50 cm～60 cm</w:t>
      </w:r>
      <w:r>
        <w:rPr>
          <w:rFonts w:hint="eastAsia" w:ascii="仿宋" w:hAnsi="仿宋" w:eastAsia="仿宋" w:cs="楷体_GB2312"/>
          <w:bCs/>
          <w:color w:val="000000" w:themeColor="text1"/>
          <w:sz w:val="28"/>
          <w:szCs w:val="28"/>
          <w14:textFill>
            <w14:solidFill>
              <w14:schemeClr w14:val="tx1"/>
            </w14:solidFill>
          </w14:textFill>
        </w:rPr>
        <w:t>（传统行距30</w:t>
      </w:r>
      <w:r>
        <w:rPr>
          <w:rFonts w:ascii="仿宋" w:hAnsi="仿宋" w:eastAsia="仿宋" w:cs="楷体_GB2312"/>
          <w:bCs/>
          <w:color w:val="000000" w:themeColor="text1"/>
          <w:sz w:val="28"/>
          <w:szCs w:val="28"/>
          <w14:textFill>
            <w14:solidFill>
              <w14:schemeClr w14:val="tx1"/>
            </w14:solidFill>
          </w14:textFill>
        </w:rPr>
        <w:t xml:space="preserve"> cm～</w:t>
      </w:r>
      <w:r>
        <w:rPr>
          <w:rFonts w:hint="eastAsia" w:ascii="仿宋" w:hAnsi="仿宋" w:eastAsia="仿宋" w:cs="楷体_GB2312"/>
          <w:bCs/>
          <w:color w:val="000000" w:themeColor="text1"/>
          <w:sz w:val="28"/>
          <w:szCs w:val="28"/>
          <w14:textFill>
            <w14:solidFill>
              <w14:schemeClr w14:val="tx1"/>
            </w14:solidFill>
          </w14:textFill>
        </w:rPr>
        <w:t>40</w:t>
      </w:r>
      <w:r>
        <w:rPr>
          <w:rFonts w:ascii="仿宋" w:hAnsi="仿宋" w:eastAsia="仿宋" w:cs="楷体_GB2312"/>
          <w:bCs/>
          <w:color w:val="000000" w:themeColor="text1"/>
          <w:sz w:val="28"/>
          <w:szCs w:val="28"/>
          <w14:textFill>
            <w14:solidFill>
              <w14:schemeClr w14:val="tx1"/>
            </w14:solidFill>
          </w14:textFill>
        </w:rPr>
        <w:t xml:space="preserve"> cm</w:t>
      </w:r>
      <w:r>
        <w:rPr>
          <w:rFonts w:hint="eastAsia" w:ascii="仿宋" w:hAnsi="仿宋" w:eastAsia="仿宋" w:cs="楷体_GB2312"/>
          <w:bCs/>
          <w:color w:val="000000" w:themeColor="text1"/>
          <w:sz w:val="28"/>
          <w:szCs w:val="28"/>
          <w14:textFill>
            <w14:solidFill>
              <w14:schemeClr w14:val="tx1"/>
            </w14:solidFill>
          </w14:textFill>
        </w:rPr>
        <w:t>）</w:t>
      </w:r>
      <w:r>
        <w:rPr>
          <w:rFonts w:ascii="仿宋" w:hAnsi="仿宋" w:eastAsia="仿宋" w:cs="楷体_GB2312"/>
          <w:bCs/>
          <w:color w:val="000000" w:themeColor="text1"/>
          <w:sz w:val="28"/>
          <w:szCs w:val="28"/>
          <w14:textFill>
            <w14:solidFill>
              <w14:schemeClr w14:val="tx1"/>
            </w14:solidFill>
          </w14:textFill>
        </w:rPr>
        <w:t>，等行距播种，播种深度3 cm～5 cm，种肥间距8 cm～10 cm，留苗密度1.25～2万株/亩</w:t>
      </w:r>
      <w:r>
        <w:rPr>
          <w:rFonts w:hint="eastAsia" w:ascii="仿宋" w:hAnsi="仿宋" w:eastAsia="仿宋" w:cs="楷体_GB2312"/>
          <w:bCs/>
          <w:color w:val="000000" w:themeColor="text1"/>
          <w:sz w:val="28"/>
          <w:szCs w:val="28"/>
          <w14:textFill>
            <w14:solidFill>
              <w14:schemeClr w14:val="tx1"/>
            </w14:solidFill>
          </w14:textFill>
        </w:rPr>
        <w:t>（传统密度1万株/亩左右）</w:t>
      </w:r>
      <w:r>
        <w:rPr>
          <w:rFonts w:ascii="仿宋" w:hAnsi="仿宋" w:eastAsia="仿宋" w:cs="楷体_GB2312"/>
          <w:bCs/>
          <w:color w:val="000000" w:themeColor="text1"/>
          <w:sz w:val="28"/>
          <w:szCs w:val="28"/>
          <w14:textFill>
            <w14:solidFill>
              <w14:schemeClr w14:val="tx1"/>
            </w14:solidFill>
          </w14:textFill>
        </w:rPr>
        <w:t>。</w:t>
      </w:r>
    </w:p>
    <w:p w14:paraId="69299F23">
      <w:pPr>
        <w:snapToGrid w:val="0"/>
        <w:spacing w:line="600" w:lineRule="exact"/>
        <w:ind w:firstLine="562" w:firstLineChars="200"/>
        <w:rPr>
          <w:rFonts w:ascii="仿宋" w:hAnsi="仿宋" w:eastAsia="仿宋" w:cs="楷体_GB2312"/>
          <w:b/>
          <w:bCs/>
          <w:color w:val="000000" w:themeColor="text1"/>
          <w:sz w:val="28"/>
          <w:szCs w:val="28"/>
          <w14:textFill>
            <w14:solidFill>
              <w14:schemeClr w14:val="tx1"/>
            </w14:solidFill>
          </w14:textFill>
        </w:rPr>
      </w:pPr>
      <w:r>
        <w:rPr>
          <w:rFonts w:hint="eastAsia" w:ascii="仿宋" w:hAnsi="仿宋" w:eastAsia="仿宋" w:cs="楷体_GB2312"/>
          <w:b/>
          <w:bCs/>
          <w:color w:val="000000" w:themeColor="text1"/>
          <w:sz w:val="28"/>
          <w:szCs w:val="28"/>
          <w14:textFill>
            <w14:solidFill>
              <w14:schemeClr w14:val="tx1"/>
            </w14:solidFill>
          </w14:textFill>
        </w:rPr>
        <w:t>3、</w:t>
      </w:r>
      <w:r>
        <w:rPr>
          <w:rFonts w:ascii="仿宋" w:hAnsi="仿宋" w:eastAsia="仿宋" w:cs="楷体_GB2312"/>
          <w:b/>
          <w:bCs/>
          <w:color w:val="000000" w:themeColor="text1"/>
          <w:sz w:val="28"/>
          <w:szCs w:val="28"/>
          <w14:textFill>
            <w14:solidFill>
              <w14:schemeClr w14:val="tx1"/>
            </w14:solidFill>
          </w14:textFill>
        </w:rPr>
        <w:t>施肥</w:t>
      </w:r>
    </w:p>
    <w:p w14:paraId="4AFE32FE">
      <w:pPr>
        <w:snapToGrid w:val="0"/>
        <w:spacing w:line="600" w:lineRule="exact"/>
        <w:ind w:firstLine="560" w:firstLineChars="200"/>
        <w:rPr>
          <w:rFonts w:ascii="仿宋" w:hAnsi="仿宋" w:eastAsia="仿宋" w:cs="楷体_GB2312"/>
          <w:bCs/>
          <w:color w:val="000000" w:themeColor="text1"/>
          <w:sz w:val="28"/>
          <w:szCs w:val="28"/>
          <w14:textFill>
            <w14:solidFill>
              <w14:schemeClr w14:val="tx1"/>
            </w14:solidFill>
          </w14:textFill>
        </w:rPr>
      </w:pPr>
      <w:r>
        <w:rPr>
          <w:rFonts w:hint="eastAsia" w:ascii="仿宋" w:hAnsi="仿宋" w:eastAsia="仿宋" w:cs="楷体_GB2312"/>
          <w:bCs/>
          <w:color w:val="000000" w:themeColor="text1"/>
          <w:sz w:val="28"/>
          <w:szCs w:val="28"/>
          <w14:textFill>
            <w14:solidFill>
              <w14:schemeClr w14:val="tx1"/>
            </w14:solidFill>
          </w14:textFill>
        </w:rPr>
        <w:t>施肥与播种同时进行</w:t>
      </w:r>
      <w:r>
        <w:rPr>
          <w:rFonts w:ascii="仿宋" w:hAnsi="仿宋" w:eastAsia="仿宋" w:cs="楷体_GB2312"/>
          <w:bCs/>
          <w:color w:val="000000" w:themeColor="text1"/>
          <w:sz w:val="28"/>
          <w:szCs w:val="28"/>
          <w14:textFill>
            <w14:solidFill>
              <w14:schemeClr w14:val="tx1"/>
            </w14:solidFill>
          </w14:textFill>
        </w:rPr>
        <w:t>,结合播种施缓释复合肥（N:P</w:t>
      </w:r>
      <w:r>
        <w:rPr>
          <w:rFonts w:ascii="仿宋" w:hAnsi="仿宋" w:eastAsia="仿宋" w:cs="楷体_GB2312"/>
          <w:bCs/>
          <w:color w:val="000000" w:themeColor="text1"/>
          <w:sz w:val="28"/>
          <w:szCs w:val="28"/>
          <w:vertAlign w:val="subscript"/>
          <w14:textFill>
            <w14:solidFill>
              <w14:schemeClr w14:val="tx1"/>
            </w14:solidFill>
          </w14:textFill>
        </w:rPr>
        <w:t>2</w:t>
      </w:r>
      <w:r>
        <w:rPr>
          <w:rFonts w:ascii="仿宋" w:hAnsi="仿宋" w:eastAsia="仿宋" w:cs="楷体_GB2312"/>
          <w:bCs/>
          <w:color w:val="000000" w:themeColor="text1"/>
          <w:sz w:val="28"/>
          <w:szCs w:val="28"/>
          <w14:textFill>
            <w14:solidFill>
              <w14:schemeClr w14:val="tx1"/>
            </w14:solidFill>
          </w14:textFill>
        </w:rPr>
        <w:t>O</w:t>
      </w:r>
      <w:r>
        <w:rPr>
          <w:rFonts w:ascii="仿宋" w:hAnsi="仿宋" w:eastAsia="仿宋" w:cs="楷体_GB2312"/>
          <w:bCs/>
          <w:color w:val="000000" w:themeColor="text1"/>
          <w:sz w:val="28"/>
          <w:szCs w:val="28"/>
          <w:vertAlign w:val="subscript"/>
          <w14:textFill>
            <w14:solidFill>
              <w14:schemeClr w14:val="tx1"/>
            </w14:solidFill>
          </w14:textFill>
        </w:rPr>
        <w:t>5</w:t>
      </w:r>
      <w:r>
        <w:rPr>
          <w:rFonts w:ascii="仿宋" w:hAnsi="仿宋" w:eastAsia="仿宋" w:cs="楷体_GB2312"/>
          <w:bCs/>
          <w:color w:val="000000" w:themeColor="text1"/>
          <w:sz w:val="28"/>
          <w:szCs w:val="28"/>
          <w14:textFill>
            <w14:solidFill>
              <w14:schemeClr w14:val="tx1"/>
            </w14:solidFill>
          </w14:textFill>
        </w:rPr>
        <w:t>:KO</w:t>
      </w:r>
      <w:r>
        <w:rPr>
          <w:rFonts w:ascii="仿宋" w:hAnsi="仿宋" w:eastAsia="仿宋" w:cs="楷体_GB2312"/>
          <w:bCs/>
          <w:color w:val="000000" w:themeColor="text1"/>
          <w:sz w:val="28"/>
          <w:szCs w:val="28"/>
          <w:vertAlign w:val="subscript"/>
          <w14:textFill>
            <w14:solidFill>
              <w14:schemeClr w14:val="tx1"/>
            </w14:solidFill>
          </w14:textFill>
        </w:rPr>
        <w:t>2</w:t>
      </w:r>
      <w:r>
        <w:rPr>
          <w:rFonts w:ascii="仿宋" w:hAnsi="仿宋" w:eastAsia="仿宋" w:cs="楷体_GB2312"/>
          <w:bCs/>
          <w:color w:val="000000" w:themeColor="text1"/>
          <w:sz w:val="28"/>
          <w:szCs w:val="28"/>
          <w14:textFill>
            <w14:solidFill>
              <w14:schemeClr w14:val="tx1"/>
            </w14:solidFill>
          </w14:textFill>
        </w:rPr>
        <w:t>=15:15:15</w:t>
      </w:r>
      <w:r>
        <w:rPr>
          <w:rFonts w:hint="eastAsia" w:ascii="仿宋" w:hAnsi="仿宋" w:eastAsia="仿宋" w:cs="楷体_GB2312"/>
          <w:bCs/>
          <w:color w:val="000000" w:themeColor="text1"/>
          <w:sz w:val="28"/>
          <w:szCs w:val="28"/>
          <w14:textFill>
            <w14:solidFill>
              <w14:schemeClr w14:val="tx1"/>
            </w14:solidFill>
          </w14:textFill>
        </w:rPr>
        <w:t>，</w:t>
      </w:r>
      <w:r>
        <w:rPr>
          <w:rFonts w:ascii="仿宋" w:hAnsi="仿宋" w:eastAsia="仿宋" w:cs="楷体_GB2312"/>
          <w:bCs/>
          <w:color w:val="000000" w:themeColor="text1"/>
          <w:sz w:val="28"/>
          <w:szCs w:val="28"/>
          <w14:textFill>
            <w14:solidFill>
              <w14:schemeClr w14:val="tx1"/>
            </w14:solidFill>
          </w14:textFill>
        </w:rPr>
        <w:t>或N:P</w:t>
      </w:r>
      <w:r>
        <w:rPr>
          <w:rFonts w:ascii="仿宋" w:hAnsi="仿宋" w:eastAsia="仿宋" w:cs="楷体_GB2312"/>
          <w:bCs/>
          <w:color w:val="000000" w:themeColor="text1"/>
          <w:sz w:val="28"/>
          <w:szCs w:val="28"/>
          <w:vertAlign w:val="subscript"/>
          <w14:textFill>
            <w14:solidFill>
              <w14:schemeClr w14:val="tx1"/>
            </w14:solidFill>
          </w14:textFill>
        </w:rPr>
        <w:t>2</w:t>
      </w:r>
      <w:r>
        <w:rPr>
          <w:rFonts w:ascii="仿宋" w:hAnsi="仿宋" w:eastAsia="仿宋" w:cs="楷体_GB2312"/>
          <w:bCs/>
          <w:color w:val="000000" w:themeColor="text1"/>
          <w:sz w:val="28"/>
          <w:szCs w:val="28"/>
          <w14:textFill>
            <w14:solidFill>
              <w14:schemeClr w14:val="tx1"/>
            </w14:solidFill>
          </w14:textFill>
        </w:rPr>
        <w:t>O</w:t>
      </w:r>
      <w:r>
        <w:rPr>
          <w:rFonts w:ascii="仿宋" w:hAnsi="仿宋" w:eastAsia="仿宋" w:cs="楷体_GB2312"/>
          <w:bCs/>
          <w:color w:val="000000" w:themeColor="text1"/>
          <w:sz w:val="28"/>
          <w:szCs w:val="28"/>
          <w:vertAlign w:val="subscript"/>
          <w14:textFill>
            <w14:solidFill>
              <w14:schemeClr w14:val="tx1"/>
            </w14:solidFill>
          </w14:textFill>
        </w:rPr>
        <w:t>5</w:t>
      </w:r>
      <w:r>
        <w:rPr>
          <w:rFonts w:ascii="仿宋" w:hAnsi="仿宋" w:eastAsia="仿宋" w:cs="楷体_GB2312"/>
          <w:bCs/>
          <w:color w:val="000000" w:themeColor="text1"/>
          <w:sz w:val="28"/>
          <w:szCs w:val="28"/>
          <w14:textFill>
            <w14:solidFill>
              <w14:schemeClr w14:val="tx1"/>
            </w14:solidFill>
          </w14:textFill>
        </w:rPr>
        <w:t>:KO</w:t>
      </w:r>
      <w:r>
        <w:rPr>
          <w:rFonts w:ascii="仿宋" w:hAnsi="仿宋" w:eastAsia="仿宋" w:cs="楷体_GB2312"/>
          <w:bCs/>
          <w:color w:val="000000" w:themeColor="text1"/>
          <w:sz w:val="28"/>
          <w:szCs w:val="28"/>
          <w:vertAlign w:val="subscript"/>
          <w14:textFill>
            <w14:solidFill>
              <w14:schemeClr w14:val="tx1"/>
            </w14:solidFill>
          </w14:textFill>
        </w:rPr>
        <w:t>2</w:t>
      </w:r>
      <w:r>
        <w:rPr>
          <w:rFonts w:ascii="仿宋" w:hAnsi="仿宋" w:eastAsia="仿宋" w:cs="楷体_GB2312"/>
          <w:bCs/>
          <w:color w:val="000000" w:themeColor="text1"/>
          <w:sz w:val="28"/>
          <w:szCs w:val="28"/>
          <w14:textFill>
            <w14:solidFill>
              <w14:schemeClr w14:val="tx1"/>
            </w14:solidFill>
          </w14:textFill>
        </w:rPr>
        <w:t>=18:18:18）20～25 kg/亩。切忌种肥同位，以免烧种。</w:t>
      </w:r>
    </w:p>
    <w:p w14:paraId="10B9FD21">
      <w:pPr>
        <w:snapToGrid w:val="0"/>
        <w:spacing w:line="600" w:lineRule="exact"/>
        <w:ind w:firstLine="562" w:firstLineChars="200"/>
        <w:rPr>
          <w:rFonts w:ascii="仿宋" w:hAnsi="仿宋" w:eastAsia="仿宋" w:cs="楷体_GB2312"/>
          <w:b/>
          <w:bCs/>
          <w:color w:val="000000" w:themeColor="text1"/>
          <w:sz w:val="28"/>
          <w:szCs w:val="28"/>
          <w14:textFill>
            <w14:solidFill>
              <w14:schemeClr w14:val="tx1"/>
            </w14:solidFill>
          </w14:textFill>
        </w:rPr>
      </w:pPr>
      <w:r>
        <w:rPr>
          <w:rFonts w:hint="eastAsia" w:ascii="仿宋" w:hAnsi="仿宋" w:eastAsia="仿宋" w:cs="楷体_GB2312"/>
          <w:b/>
          <w:bCs/>
          <w:color w:val="000000" w:themeColor="text1"/>
          <w:sz w:val="28"/>
          <w:szCs w:val="28"/>
          <w14:textFill>
            <w14:solidFill>
              <w14:schemeClr w14:val="tx1"/>
            </w14:solidFill>
          </w14:textFill>
        </w:rPr>
        <w:t>4、</w:t>
      </w:r>
      <w:r>
        <w:rPr>
          <w:rFonts w:ascii="仿宋" w:hAnsi="仿宋" w:eastAsia="仿宋" w:cs="楷体_GB2312"/>
          <w:b/>
          <w:bCs/>
          <w:color w:val="000000" w:themeColor="text1"/>
          <w:sz w:val="28"/>
          <w:szCs w:val="28"/>
          <w14:textFill>
            <w14:solidFill>
              <w14:schemeClr w14:val="tx1"/>
            </w14:solidFill>
          </w14:textFill>
        </w:rPr>
        <w:t>作业</w:t>
      </w:r>
    </w:p>
    <w:p w14:paraId="12369242">
      <w:pPr>
        <w:snapToGrid w:val="0"/>
        <w:spacing w:line="600" w:lineRule="exact"/>
        <w:ind w:firstLine="800" w:firstLineChars="200"/>
        <w:rPr>
          <w:rFonts w:ascii="仿宋" w:hAnsi="仿宋" w:eastAsia="仿宋" w:cs="楷体_GB2312"/>
          <w:bCs/>
          <w:color w:val="000000" w:themeColor="text1"/>
          <w:sz w:val="28"/>
          <w:szCs w:val="28"/>
          <w14:textFill>
            <w14:solidFill>
              <w14:schemeClr w14:val="tx1"/>
            </w14:solidFill>
          </w14:textFill>
        </w:rPr>
      </w:pPr>
      <w:r>
        <w:rPr>
          <w:rFonts w:hint="eastAsia"/>
          <w:sz w:val="40"/>
        </w:rPr>
        <w:drawing>
          <wp:anchor distT="0" distB="0" distL="114300" distR="114300" simplePos="0" relativeHeight="251659264" behindDoc="1" locked="0" layoutInCell="1" allowOverlap="1">
            <wp:simplePos x="0" y="0"/>
            <wp:positionH relativeFrom="column">
              <wp:posOffset>142875</wp:posOffset>
            </wp:positionH>
            <wp:positionV relativeFrom="paragraph">
              <wp:posOffset>1612900</wp:posOffset>
            </wp:positionV>
            <wp:extent cx="5067300" cy="2857500"/>
            <wp:effectExtent l="0" t="0" r="0" b="0"/>
            <wp:wrapTight wrapText="bothSides">
              <wp:wrapPolygon>
                <wp:start x="0" y="0"/>
                <wp:lineTo x="0" y="21456"/>
                <wp:lineTo x="21519" y="21456"/>
                <wp:lineTo x="21519" y="0"/>
                <wp:lineTo x="0" y="0"/>
              </wp:wrapPolygon>
            </wp:wrapTight>
            <wp:docPr id="15" name="图片 15" descr="1播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播种"/>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67300" cy="2857500"/>
                    </a:xfrm>
                    <a:prstGeom prst="rect">
                      <a:avLst/>
                    </a:prstGeom>
                  </pic:spPr>
                </pic:pic>
              </a:graphicData>
            </a:graphic>
          </wp:anchor>
        </w:drawing>
      </w:r>
      <w:r>
        <w:rPr>
          <w:rFonts w:hint="eastAsia" w:ascii="仿宋" w:hAnsi="仿宋" w:eastAsia="仿宋" w:cs="楷体_GB2312"/>
          <w:bCs/>
          <w:color w:val="000000" w:themeColor="text1"/>
          <w:sz w:val="28"/>
          <w:szCs w:val="28"/>
          <w14:textFill>
            <w14:solidFill>
              <w14:schemeClr w14:val="tx1"/>
            </w14:solidFill>
          </w14:textFill>
        </w:rPr>
        <w:t>采用施肥播种机一次性完成灭茬、开沟、施肥、播种和覆土作业。播种时，要求下籽均匀，播深一致，籽入湿土，无漏无重，覆土均匀严密，均匀无断条、做到不重播、不深播和不漏播，实现一次播种保全苗。</w:t>
      </w:r>
    </w:p>
    <w:p w14:paraId="23529D1C">
      <w:pPr>
        <w:snapToGrid w:val="0"/>
        <w:spacing w:line="600" w:lineRule="exact"/>
        <w:jc w:val="center"/>
        <w:rPr>
          <w:rFonts w:ascii="仿宋" w:hAnsi="仿宋" w:eastAsia="仿宋" w:cs="楷体_GB2312"/>
          <w:b/>
          <w:bCs/>
          <w:color w:val="000000" w:themeColor="text1"/>
          <w:sz w:val="28"/>
          <w:szCs w:val="28"/>
          <w14:textFill>
            <w14:solidFill>
              <w14:schemeClr w14:val="tx1"/>
            </w14:solidFill>
          </w14:textFill>
        </w:rPr>
      </w:pPr>
      <w:r>
        <w:rPr>
          <w:rFonts w:hint="eastAsia" w:ascii="仿宋" w:hAnsi="仿宋" w:eastAsia="仿宋" w:cs="楷体_GB2312"/>
          <w:b/>
          <w:bCs/>
          <w:color w:val="000000" w:themeColor="text1"/>
          <w:sz w:val="28"/>
          <w:szCs w:val="28"/>
          <w14:textFill>
            <w14:solidFill>
              <w14:schemeClr w14:val="tx1"/>
            </w14:solidFill>
          </w14:textFill>
        </w:rPr>
        <w:t>夏大豆机械化播种</w:t>
      </w:r>
    </w:p>
    <w:p w14:paraId="5D00D4A3">
      <w:pPr>
        <w:snapToGrid w:val="0"/>
        <w:spacing w:line="600" w:lineRule="exact"/>
        <w:ind w:firstLine="643" w:firstLineChars="200"/>
        <w:rPr>
          <w:rFonts w:ascii="楷体" w:hAnsi="楷体" w:eastAsia="楷体" w:cs="楷体_GB2312"/>
          <w:b/>
          <w:bCs/>
          <w:color w:val="000000" w:themeColor="text1"/>
          <w:sz w:val="32"/>
          <w:szCs w:val="32"/>
          <w14:textFill>
            <w14:solidFill>
              <w14:schemeClr w14:val="tx1"/>
            </w14:solidFill>
          </w14:textFill>
        </w:rPr>
      </w:pPr>
      <w:r>
        <w:rPr>
          <w:rFonts w:hint="eastAsia" w:ascii="楷体" w:hAnsi="楷体" w:eastAsia="楷体" w:cs="楷体_GB2312"/>
          <w:b/>
          <w:bCs/>
          <w:color w:val="000000" w:themeColor="text1"/>
          <w:sz w:val="32"/>
          <w:szCs w:val="32"/>
          <w14:textFill>
            <w14:solidFill>
              <w14:schemeClr w14:val="tx1"/>
            </w14:solidFill>
          </w14:textFill>
        </w:rPr>
        <w:t>（五）田间管理</w:t>
      </w:r>
    </w:p>
    <w:p w14:paraId="45666F17">
      <w:pPr>
        <w:snapToGrid w:val="0"/>
        <w:spacing w:line="600" w:lineRule="exact"/>
        <w:ind w:firstLine="562" w:firstLineChars="200"/>
        <w:rPr>
          <w:rFonts w:ascii="仿宋" w:hAnsi="仿宋" w:eastAsia="仿宋" w:cs="楷体_GB2312"/>
          <w:b/>
          <w:bCs/>
          <w:color w:val="000000" w:themeColor="text1"/>
          <w:sz w:val="28"/>
          <w:szCs w:val="28"/>
          <w14:textFill>
            <w14:solidFill>
              <w14:schemeClr w14:val="tx1"/>
            </w14:solidFill>
          </w14:textFill>
        </w:rPr>
      </w:pPr>
      <w:r>
        <w:rPr>
          <w:rFonts w:hint="eastAsia" w:ascii="仿宋" w:hAnsi="仿宋" w:eastAsia="仿宋" w:cs="楷体_GB2312"/>
          <w:b/>
          <w:bCs/>
          <w:color w:val="000000" w:themeColor="text1"/>
          <w:sz w:val="28"/>
          <w:szCs w:val="28"/>
          <w14:textFill>
            <w14:solidFill>
              <w14:schemeClr w14:val="tx1"/>
            </w14:solidFill>
          </w14:textFill>
        </w:rPr>
        <w:t>1、</w:t>
      </w:r>
      <w:r>
        <w:rPr>
          <w:rFonts w:ascii="仿宋" w:hAnsi="仿宋" w:eastAsia="仿宋" w:cs="楷体_GB2312"/>
          <w:b/>
          <w:bCs/>
          <w:color w:val="000000" w:themeColor="text1"/>
          <w:sz w:val="28"/>
          <w:szCs w:val="28"/>
          <w14:textFill>
            <w14:solidFill>
              <w14:schemeClr w14:val="tx1"/>
            </w14:solidFill>
          </w14:textFill>
        </w:rPr>
        <w:t>化学除草</w:t>
      </w:r>
    </w:p>
    <w:p w14:paraId="06EDC7D1">
      <w:pPr>
        <w:snapToGrid w:val="0"/>
        <w:spacing w:line="600" w:lineRule="exact"/>
        <w:ind w:firstLine="560" w:firstLineChars="200"/>
        <w:rPr>
          <w:rFonts w:ascii="仿宋" w:hAnsi="仿宋" w:eastAsia="仿宋" w:cs="楷体_GB2312"/>
          <w:bCs/>
          <w:color w:val="000000" w:themeColor="text1"/>
          <w:sz w:val="28"/>
          <w:szCs w:val="28"/>
          <w14:textFill>
            <w14:solidFill>
              <w14:schemeClr w14:val="tx1"/>
            </w14:solidFill>
          </w14:textFill>
        </w:rPr>
      </w:pPr>
      <w:r>
        <w:rPr>
          <w:rFonts w:hint="eastAsia" w:ascii="仿宋" w:hAnsi="仿宋" w:eastAsia="仿宋" w:cs="楷体_GB2312"/>
          <w:bCs/>
          <w:color w:val="000000" w:themeColor="text1"/>
          <w:sz w:val="28"/>
          <w:szCs w:val="28"/>
          <w14:textFill>
            <w14:solidFill>
              <w14:schemeClr w14:val="tx1"/>
            </w14:solidFill>
          </w14:textFill>
        </w:rPr>
        <w:t>杂草</w:t>
      </w:r>
      <w:r>
        <w:rPr>
          <w:rFonts w:ascii="仿宋" w:hAnsi="仿宋" w:eastAsia="仿宋" w:cs="楷体_GB2312"/>
          <w:bCs/>
          <w:color w:val="000000" w:themeColor="text1"/>
          <w:sz w:val="28"/>
          <w:szCs w:val="28"/>
          <w14:textFill>
            <w14:solidFill>
              <w14:schemeClr w14:val="tx1"/>
            </w14:solidFill>
          </w14:textFill>
        </w:rPr>
        <w:t>3～5叶期，大豆2～4片复叶期，宜选用25%氟磺胺草醚水剂40 g/亩+10%精喹禾灵乳油40 ml/亩，兑水30 kg～40 kg/亩进行防除。</w:t>
      </w:r>
    </w:p>
    <w:p w14:paraId="518F7213">
      <w:pPr>
        <w:snapToGrid w:val="0"/>
        <w:spacing w:line="600" w:lineRule="exact"/>
        <w:ind w:firstLine="562" w:firstLineChars="200"/>
        <w:rPr>
          <w:rFonts w:ascii="仿宋" w:hAnsi="仿宋" w:eastAsia="仿宋" w:cs="楷体_GB2312"/>
          <w:b/>
          <w:bCs/>
          <w:color w:val="000000" w:themeColor="text1"/>
          <w:sz w:val="28"/>
          <w:szCs w:val="28"/>
          <w14:textFill>
            <w14:solidFill>
              <w14:schemeClr w14:val="tx1"/>
            </w14:solidFill>
          </w14:textFill>
        </w:rPr>
      </w:pPr>
      <w:r>
        <w:rPr>
          <w:rFonts w:hint="eastAsia" w:ascii="仿宋" w:hAnsi="仿宋" w:eastAsia="仿宋" w:cs="楷体_GB2312"/>
          <w:b/>
          <w:bCs/>
          <w:color w:val="000000" w:themeColor="text1"/>
          <w:sz w:val="28"/>
          <w:szCs w:val="28"/>
          <w14:textFill>
            <w14:solidFill>
              <w14:schemeClr w14:val="tx1"/>
            </w14:solidFill>
          </w14:textFill>
        </w:rPr>
        <w:t>2、</w:t>
      </w:r>
      <w:r>
        <w:rPr>
          <w:rFonts w:ascii="仿宋" w:hAnsi="仿宋" w:eastAsia="仿宋" w:cs="楷体_GB2312"/>
          <w:b/>
          <w:bCs/>
          <w:color w:val="000000" w:themeColor="text1"/>
          <w:sz w:val="28"/>
          <w:szCs w:val="28"/>
          <w14:textFill>
            <w14:solidFill>
              <w14:schemeClr w14:val="tx1"/>
            </w14:solidFill>
          </w14:textFill>
        </w:rPr>
        <w:t>一喷多防</w:t>
      </w:r>
    </w:p>
    <w:p w14:paraId="3FA53758">
      <w:pPr>
        <w:snapToGrid w:val="0"/>
        <w:spacing w:line="600" w:lineRule="exact"/>
        <w:ind w:firstLine="560" w:firstLineChars="200"/>
        <w:rPr>
          <w:rFonts w:ascii="仿宋" w:hAnsi="仿宋" w:eastAsia="仿宋" w:cs="楷体_GB2312"/>
          <w:bCs/>
          <w:color w:val="000000" w:themeColor="text1"/>
          <w:sz w:val="28"/>
          <w:szCs w:val="28"/>
          <w14:textFill>
            <w14:solidFill>
              <w14:schemeClr w14:val="tx1"/>
            </w14:solidFill>
          </w14:textFill>
        </w:rPr>
      </w:pPr>
      <w:r>
        <w:rPr>
          <w:rFonts w:hint="eastAsia" w:ascii="仿宋" w:hAnsi="仿宋" w:eastAsia="仿宋" w:cs="楷体_GB2312"/>
          <w:bCs/>
          <w:color w:val="000000" w:themeColor="text1"/>
          <w:sz w:val="28"/>
          <w:szCs w:val="28"/>
          <w14:textFill>
            <w14:solidFill>
              <w14:schemeClr w14:val="tx1"/>
            </w14:solidFill>
          </w14:textFill>
        </w:rPr>
        <w:t>于大豆初花期进行防病（病毒病、荚枯病、灰斑病等）、防虫（卷叶螟、豆荚螟、食心虫、点蜂缘蝽、斜纹叶蛾等）和强健植株。宜选用</w:t>
      </w:r>
      <w:r>
        <w:rPr>
          <w:rFonts w:ascii="仿宋" w:hAnsi="仿宋" w:eastAsia="仿宋" w:cs="楷体_GB2312"/>
          <w:bCs/>
          <w:color w:val="000000" w:themeColor="text1"/>
          <w:sz w:val="28"/>
          <w:szCs w:val="28"/>
          <w14:textFill>
            <w14:solidFill>
              <w14:schemeClr w14:val="tx1"/>
            </w14:solidFill>
          </w14:textFill>
        </w:rPr>
        <w:t>32.5%苯甲·嘧菌酯（30 ml/亩）+40%毒死蜱（80 ml/亩）+2.5%高效氯氟氰菊酯（40 ml/亩）+99%磷酸二氢钾（100 g/亩），兑水40 kg进行喷雾。每7～10天一次，连喷2～3次。</w:t>
      </w:r>
      <w:r>
        <w:rPr>
          <w:rFonts w:hint="eastAsia" w:ascii="仿宋" w:hAnsi="仿宋" w:eastAsia="仿宋" w:cs="楷体_GB2312"/>
          <w:bCs/>
          <w:color w:val="000000" w:themeColor="text1"/>
          <w:sz w:val="28"/>
          <w:szCs w:val="28"/>
          <w14:textFill>
            <w14:solidFill>
              <w14:schemeClr w14:val="tx1"/>
            </w14:solidFill>
          </w14:textFill>
        </w:rPr>
        <w:t>同类药剂可替换使用。</w:t>
      </w:r>
    </w:p>
    <w:p w14:paraId="3CB30FA0">
      <w:pPr>
        <w:snapToGrid w:val="0"/>
        <w:spacing w:line="600" w:lineRule="exact"/>
        <w:ind w:firstLine="562" w:firstLineChars="200"/>
        <w:rPr>
          <w:rFonts w:ascii="仿宋" w:hAnsi="仿宋" w:eastAsia="仿宋" w:cs="楷体_GB2312"/>
          <w:b/>
          <w:bCs/>
          <w:color w:val="000000" w:themeColor="text1"/>
          <w:sz w:val="28"/>
          <w:szCs w:val="28"/>
          <w14:textFill>
            <w14:solidFill>
              <w14:schemeClr w14:val="tx1"/>
            </w14:solidFill>
          </w14:textFill>
        </w:rPr>
      </w:pPr>
      <w:r>
        <w:rPr>
          <w:rFonts w:hint="eastAsia" w:ascii="仿宋" w:hAnsi="仿宋" w:eastAsia="仿宋" w:cs="楷体_GB2312"/>
          <w:b/>
          <w:bCs/>
          <w:color w:val="000000" w:themeColor="text1"/>
          <w:sz w:val="28"/>
          <w:szCs w:val="28"/>
          <w14:textFill>
            <w14:solidFill>
              <w14:schemeClr w14:val="tx1"/>
            </w14:solidFill>
          </w14:textFill>
        </w:rPr>
        <w:t>3、植保</w:t>
      </w:r>
      <w:r>
        <w:rPr>
          <w:rFonts w:ascii="仿宋" w:hAnsi="仿宋" w:eastAsia="仿宋" w:cs="楷体_GB2312"/>
          <w:b/>
          <w:bCs/>
          <w:color w:val="000000" w:themeColor="text1"/>
          <w:sz w:val="28"/>
          <w:szCs w:val="28"/>
          <w14:textFill>
            <w14:solidFill>
              <w14:schemeClr w14:val="tx1"/>
            </w14:solidFill>
          </w14:textFill>
        </w:rPr>
        <w:t>无人</w:t>
      </w:r>
      <w:r>
        <w:rPr>
          <w:rFonts w:hint="eastAsia" w:ascii="仿宋" w:hAnsi="仿宋" w:eastAsia="仿宋" w:cs="楷体_GB2312"/>
          <w:b/>
          <w:bCs/>
          <w:color w:val="000000" w:themeColor="text1"/>
          <w:sz w:val="28"/>
          <w:szCs w:val="28"/>
          <w14:textFill>
            <w14:solidFill>
              <w14:schemeClr w14:val="tx1"/>
            </w14:solidFill>
          </w14:textFill>
        </w:rPr>
        <w:t>飞</w:t>
      </w:r>
      <w:r>
        <w:rPr>
          <w:rFonts w:ascii="仿宋" w:hAnsi="仿宋" w:eastAsia="仿宋" w:cs="楷体_GB2312"/>
          <w:b/>
          <w:bCs/>
          <w:color w:val="000000" w:themeColor="text1"/>
          <w:sz w:val="28"/>
          <w:szCs w:val="28"/>
          <w14:textFill>
            <w14:solidFill>
              <w14:schemeClr w14:val="tx1"/>
            </w14:solidFill>
          </w14:textFill>
        </w:rPr>
        <w:t>机作业</w:t>
      </w:r>
    </w:p>
    <w:p w14:paraId="3095D50C">
      <w:pPr>
        <w:snapToGrid w:val="0"/>
        <w:spacing w:line="600" w:lineRule="exact"/>
        <w:ind w:firstLine="562" w:firstLineChars="200"/>
        <w:rPr>
          <w:rFonts w:ascii="仿宋" w:hAnsi="仿宋" w:eastAsia="仿宋" w:cs="楷体_GB2312"/>
          <w:b/>
          <w:bCs/>
          <w:color w:val="000000" w:themeColor="text1"/>
          <w:sz w:val="28"/>
          <w:szCs w:val="28"/>
          <w14:textFill>
            <w14:solidFill>
              <w14:schemeClr w14:val="tx1"/>
            </w14:solidFill>
          </w14:textFill>
        </w:rPr>
      </w:pPr>
      <w:r>
        <w:rPr>
          <w:rFonts w:ascii="仿宋" w:hAnsi="仿宋" w:eastAsia="仿宋" w:cs="楷体_GB2312"/>
          <w:b/>
          <w:bCs/>
          <w:color w:val="000000" w:themeColor="text1"/>
          <w:sz w:val="28"/>
          <w:szCs w:val="28"/>
          <w14:textFill>
            <w14:solidFill>
              <w14:schemeClr w14:val="tx1"/>
            </w14:solidFill>
          </w14:textFill>
        </w:rPr>
        <w:drawing>
          <wp:anchor distT="0" distB="0" distL="114300" distR="114300" simplePos="0" relativeHeight="251660288" behindDoc="0" locked="0" layoutInCell="1" allowOverlap="1">
            <wp:simplePos x="0" y="0"/>
            <wp:positionH relativeFrom="margin">
              <wp:posOffset>19050</wp:posOffset>
            </wp:positionH>
            <wp:positionV relativeFrom="margin">
              <wp:posOffset>2425065</wp:posOffset>
            </wp:positionV>
            <wp:extent cx="5274310" cy="2426335"/>
            <wp:effectExtent l="0" t="0" r="254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426335"/>
                    </a:xfrm>
                    <a:prstGeom prst="rect">
                      <a:avLst/>
                    </a:prstGeom>
                  </pic:spPr>
                </pic:pic>
              </a:graphicData>
            </a:graphic>
          </wp:anchor>
        </w:drawing>
      </w:r>
      <w:r>
        <w:rPr>
          <w:rFonts w:hint="eastAsia" w:ascii="仿宋" w:hAnsi="仿宋" w:eastAsia="仿宋" w:cs="楷体_GB2312"/>
          <w:bCs/>
          <w:color w:val="000000" w:themeColor="text1"/>
          <w:sz w:val="28"/>
          <w:szCs w:val="28"/>
          <w14:textFill>
            <w14:solidFill>
              <w14:schemeClr w14:val="tx1"/>
            </w14:solidFill>
          </w14:textFill>
        </w:rPr>
        <w:t>植保无人飞机飞行高度距离大豆顶端不大于</w:t>
      </w:r>
      <w:r>
        <w:rPr>
          <w:rFonts w:ascii="仿宋" w:hAnsi="仿宋" w:eastAsia="仿宋" w:cs="楷体_GB2312"/>
          <w:bCs/>
          <w:color w:val="000000" w:themeColor="text1"/>
          <w:sz w:val="28"/>
          <w:szCs w:val="28"/>
          <w14:textFill>
            <w14:solidFill>
              <w14:schemeClr w14:val="tx1"/>
            </w14:solidFill>
          </w14:textFill>
        </w:rPr>
        <w:t>2 m，飞行速度不大于3 m/s，液体流速不小于1.3 L/min。喷雾均匀，不重喷、不漏喷、低漂移，雾滴直径250μm～400μm。喷洒作业中应注意风速、风向，大风天应停止作业。</w:t>
      </w:r>
    </w:p>
    <w:p w14:paraId="2683ED55">
      <w:pPr>
        <w:snapToGrid w:val="0"/>
        <w:spacing w:line="600" w:lineRule="exact"/>
        <w:jc w:val="center"/>
        <w:rPr>
          <w:rFonts w:ascii="仿宋" w:hAnsi="仿宋" w:eastAsia="仿宋" w:cs="楷体_GB2312"/>
          <w:b/>
          <w:bCs/>
          <w:color w:val="000000" w:themeColor="text1"/>
          <w:sz w:val="28"/>
          <w:szCs w:val="28"/>
          <w14:textFill>
            <w14:solidFill>
              <w14:schemeClr w14:val="tx1"/>
            </w14:solidFill>
          </w14:textFill>
        </w:rPr>
      </w:pPr>
      <w:r>
        <w:rPr>
          <w:rFonts w:hint="eastAsia" w:ascii="仿宋" w:hAnsi="仿宋" w:eastAsia="仿宋" w:cs="楷体_GB2312"/>
          <w:b/>
          <w:bCs/>
          <w:color w:val="000000" w:themeColor="text1"/>
          <w:sz w:val="28"/>
          <w:szCs w:val="28"/>
          <w14:textFill>
            <w14:solidFill>
              <w14:schemeClr w14:val="tx1"/>
            </w14:solidFill>
          </w14:textFill>
        </w:rPr>
        <w:t>植保无人飞机一喷多防</w:t>
      </w:r>
    </w:p>
    <w:p w14:paraId="0BD7DB6A">
      <w:pPr>
        <w:snapToGrid w:val="0"/>
        <w:spacing w:line="600" w:lineRule="exact"/>
        <w:ind w:firstLine="562" w:firstLineChars="200"/>
        <w:rPr>
          <w:rFonts w:ascii="仿宋" w:hAnsi="仿宋" w:eastAsia="仿宋" w:cs="楷体_GB2312"/>
          <w:b/>
          <w:bCs/>
          <w:color w:val="000000" w:themeColor="text1"/>
          <w:sz w:val="28"/>
          <w:szCs w:val="28"/>
          <w14:textFill>
            <w14:solidFill>
              <w14:schemeClr w14:val="tx1"/>
            </w14:solidFill>
          </w14:textFill>
        </w:rPr>
      </w:pPr>
      <w:r>
        <w:rPr>
          <w:rFonts w:ascii="仿宋" w:hAnsi="仿宋" w:eastAsia="仿宋" w:cs="楷体_GB2312"/>
          <w:b/>
          <w:bCs/>
          <w:color w:val="000000" w:themeColor="text1"/>
          <w:sz w:val="28"/>
          <w:szCs w:val="28"/>
          <w14:textFill>
            <w14:solidFill>
              <w14:schemeClr w14:val="tx1"/>
            </w14:solidFill>
          </w14:textFill>
        </w:rPr>
        <w:t>4</w:t>
      </w:r>
      <w:r>
        <w:rPr>
          <w:rFonts w:hint="eastAsia" w:ascii="仿宋" w:hAnsi="仿宋" w:eastAsia="仿宋" w:cs="楷体_GB2312"/>
          <w:b/>
          <w:bCs/>
          <w:color w:val="000000" w:themeColor="text1"/>
          <w:sz w:val="28"/>
          <w:szCs w:val="28"/>
          <w14:textFill>
            <w14:solidFill>
              <w14:schemeClr w14:val="tx1"/>
            </w14:solidFill>
          </w14:textFill>
        </w:rPr>
        <w:t>、</w:t>
      </w:r>
      <w:r>
        <w:rPr>
          <w:rFonts w:ascii="仿宋" w:hAnsi="仿宋" w:eastAsia="仿宋" w:cs="楷体_GB2312"/>
          <w:b/>
          <w:bCs/>
          <w:color w:val="000000" w:themeColor="text1"/>
          <w:sz w:val="28"/>
          <w:szCs w:val="28"/>
          <w14:textFill>
            <w14:solidFill>
              <w14:schemeClr w14:val="tx1"/>
            </w14:solidFill>
          </w14:textFill>
        </w:rPr>
        <w:t>灌溉</w:t>
      </w:r>
    </w:p>
    <w:p w14:paraId="2793063C">
      <w:pPr>
        <w:snapToGrid w:val="0"/>
        <w:spacing w:line="600" w:lineRule="exact"/>
        <w:ind w:firstLine="560" w:firstLineChars="200"/>
        <w:rPr>
          <w:rFonts w:ascii="仿宋" w:hAnsi="仿宋" w:eastAsia="仿宋" w:cs="楷体_GB2312"/>
          <w:bCs/>
          <w:color w:val="000000" w:themeColor="text1"/>
          <w:sz w:val="28"/>
          <w:szCs w:val="28"/>
          <w14:textFill>
            <w14:solidFill>
              <w14:schemeClr w14:val="tx1"/>
            </w14:solidFill>
          </w14:textFill>
        </w:rPr>
      </w:pPr>
      <w:r>
        <w:rPr>
          <w:rFonts w:hint="eastAsia" w:ascii="仿宋" w:hAnsi="仿宋" w:eastAsia="仿宋" w:cs="楷体_GB2312"/>
          <w:bCs/>
          <w:color w:val="000000" w:themeColor="text1"/>
          <w:sz w:val="28"/>
          <w:szCs w:val="28"/>
          <w14:textFill>
            <w14:solidFill>
              <w14:schemeClr w14:val="tx1"/>
            </w14:solidFill>
          </w14:textFill>
        </w:rPr>
        <w:t>在夏大豆生育期间如遇干旱应及时灌溉。</w:t>
      </w:r>
    </w:p>
    <w:p w14:paraId="62F2D6A3">
      <w:pPr>
        <w:snapToGrid w:val="0"/>
        <w:spacing w:line="600" w:lineRule="exact"/>
        <w:ind w:firstLine="643" w:firstLineChars="200"/>
        <w:rPr>
          <w:rFonts w:ascii="楷体" w:hAnsi="楷体" w:eastAsia="楷体" w:cs="楷体_GB2312"/>
          <w:b/>
          <w:bCs/>
          <w:color w:val="000000" w:themeColor="text1"/>
          <w:sz w:val="32"/>
          <w:szCs w:val="32"/>
          <w14:textFill>
            <w14:solidFill>
              <w14:schemeClr w14:val="tx1"/>
            </w14:solidFill>
          </w14:textFill>
        </w:rPr>
      </w:pPr>
      <w:r>
        <w:rPr>
          <w:rFonts w:hint="eastAsia" w:ascii="楷体" w:hAnsi="楷体" w:eastAsia="楷体" w:cs="楷体_GB2312"/>
          <w:b/>
          <w:bCs/>
          <w:color w:val="000000" w:themeColor="text1"/>
          <w:sz w:val="32"/>
          <w:szCs w:val="32"/>
          <w14:textFill>
            <w14:solidFill>
              <w14:schemeClr w14:val="tx1"/>
            </w14:solidFill>
          </w14:textFill>
        </w:rPr>
        <w:t>（六）机械化收获</w:t>
      </w:r>
    </w:p>
    <w:p w14:paraId="70DA5AF7">
      <w:pPr>
        <w:snapToGrid w:val="0"/>
        <w:spacing w:line="600" w:lineRule="exact"/>
        <w:ind w:firstLine="562" w:firstLineChars="200"/>
        <w:rPr>
          <w:rFonts w:ascii="仿宋" w:hAnsi="仿宋" w:eastAsia="仿宋" w:cs="楷体_GB2312"/>
          <w:b/>
          <w:bCs/>
          <w:color w:val="000000" w:themeColor="text1"/>
          <w:sz w:val="28"/>
          <w:szCs w:val="28"/>
          <w14:textFill>
            <w14:solidFill>
              <w14:schemeClr w14:val="tx1"/>
            </w14:solidFill>
          </w14:textFill>
        </w:rPr>
      </w:pPr>
      <w:r>
        <w:rPr>
          <w:rFonts w:hint="eastAsia" w:ascii="仿宋" w:hAnsi="仿宋" w:eastAsia="仿宋" w:cs="楷体_GB2312"/>
          <w:b/>
          <w:bCs/>
          <w:color w:val="000000" w:themeColor="text1"/>
          <w:sz w:val="28"/>
          <w:szCs w:val="28"/>
          <w14:textFill>
            <w14:solidFill>
              <w14:schemeClr w14:val="tx1"/>
            </w14:solidFill>
          </w14:textFill>
        </w:rPr>
        <w:t>1、</w:t>
      </w:r>
      <w:r>
        <w:rPr>
          <w:rFonts w:ascii="仿宋" w:hAnsi="仿宋" w:eastAsia="仿宋" w:cs="楷体_GB2312"/>
          <w:b/>
          <w:bCs/>
          <w:color w:val="000000" w:themeColor="text1"/>
          <w:sz w:val="28"/>
          <w:szCs w:val="28"/>
          <w14:textFill>
            <w14:solidFill>
              <w14:schemeClr w14:val="tx1"/>
            </w14:solidFill>
          </w14:textFill>
        </w:rPr>
        <w:t>收获期</w:t>
      </w:r>
    </w:p>
    <w:p w14:paraId="248B549B">
      <w:pPr>
        <w:snapToGrid w:val="0"/>
        <w:spacing w:line="600" w:lineRule="exact"/>
        <w:ind w:firstLine="560" w:firstLineChars="200"/>
        <w:rPr>
          <w:rFonts w:ascii="仿宋" w:hAnsi="仿宋" w:eastAsia="仿宋" w:cs="楷体_GB2312"/>
          <w:bCs/>
          <w:color w:val="000000" w:themeColor="text1"/>
          <w:sz w:val="28"/>
          <w:szCs w:val="28"/>
          <w14:textFill>
            <w14:solidFill>
              <w14:schemeClr w14:val="tx1"/>
            </w14:solidFill>
          </w14:textFill>
        </w:rPr>
      </w:pPr>
      <w:r>
        <w:rPr>
          <w:rFonts w:hint="eastAsia" w:ascii="仿宋" w:hAnsi="仿宋" w:eastAsia="仿宋" w:cs="楷体_GB2312"/>
          <w:bCs/>
          <w:color w:val="000000" w:themeColor="text1"/>
          <w:sz w:val="28"/>
          <w:szCs w:val="28"/>
          <w14:textFill>
            <w14:solidFill>
              <w14:schemeClr w14:val="tx1"/>
            </w14:solidFill>
          </w14:textFill>
        </w:rPr>
        <w:t>当大豆叶片基本脱落，籽粒呈现本品种固有色泽，含水量低于</w:t>
      </w:r>
      <w:r>
        <w:rPr>
          <w:rFonts w:ascii="仿宋" w:hAnsi="仿宋" w:eastAsia="仿宋" w:cs="楷体_GB2312"/>
          <w:bCs/>
          <w:color w:val="000000" w:themeColor="text1"/>
          <w:sz w:val="28"/>
          <w:szCs w:val="28"/>
          <w14:textFill>
            <w14:solidFill>
              <w14:schemeClr w14:val="tx1"/>
            </w14:solidFill>
          </w14:textFill>
        </w:rPr>
        <w:t>20%时，选择干燥、无露滴的晴天进行机械收获。</w:t>
      </w:r>
    </w:p>
    <w:p w14:paraId="4FC1087C">
      <w:pPr>
        <w:snapToGrid w:val="0"/>
        <w:spacing w:line="600" w:lineRule="exact"/>
        <w:ind w:firstLine="562" w:firstLineChars="200"/>
        <w:rPr>
          <w:rFonts w:ascii="仿宋" w:hAnsi="仿宋" w:eastAsia="仿宋" w:cs="楷体_GB2312"/>
          <w:b/>
          <w:bCs/>
          <w:color w:val="000000" w:themeColor="text1"/>
          <w:sz w:val="28"/>
          <w:szCs w:val="28"/>
          <w14:textFill>
            <w14:solidFill>
              <w14:schemeClr w14:val="tx1"/>
            </w14:solidFill>
          </w14:textFill>
        </w:rPr>
      </w:pPr>
      <w:r>
        <w:rPr>
          <w:rFonts w:hint="eastAsia" w:ascii="仿宋" w:hAnsi="仿宋" w:eastAsia="仿宋" w:cs="楷体_GB2312"/>
          <w:b/>
          <w:bCs/>
          <w:color w:val="000000" w:themeColor="text1"/>
          <w:sz w:val="28"/>
          <w:szCs w:val="28"/>
          <w14:textFill>
            <w14:solidFill>
              <w14:schemeClr w14:val="tx1"/>
            </w14:solidFill>
          </w14:textFill>
        </w:rPr>
        <w:t>2、催熟</w:t>
      </w:r>
    </w:p>
    <w:p w14:paraId="53E2EA40">
      <w:pPr>
        <w:snapToGrid w:val="0"/>
        <w:spacing w:line="600" w:lineRule="exact"/>
        <w:ind w:firstLine="560" w:firstLineChars="200"/>
        <w:rPr>
          <w:rFonts w:ascii="仿宋" w:hAnsi="仿宋" w:eastAsia="仿宋" w:cs="楷体_GB2312"/>
          <w:bCs/>
          <w:color w:val="000000" w:themeColor="text1"/>
          <w:sz w:val="28"/>
          <w:szCs w:val="28"/>
          <w14:textFill>
            <w14:solidFill>
              <w14:schemeClr w14:val="tx1"/>
            </w14:solidFill>
          </w14:textFill>
        </w:rPr>
      </w:pPr>
      <w:r>
        <w:rPr>
          <w:rFonts w:hint="eastAsia" w:ascii="仿宋" w:hAnsi="仿宋" w:eastAsia="仿宋" w:cs="楷体_GB2312"/>
          <w:bCs/>
          <w:color w:val="000000" w:themeColor="text1"/>
          <w:sz w:val="28"/>
          <w:szCs w:val="28"/>
          <w14:textFill>
            <w14:solidFill>
              <w14:schemeClr w14:val="tx1"/>
            </w14:solidFill>
          </w14:textFill>
        </w:rPr>
        <w:t>如部分品种贪青晚熟，用</w:t>
      </w:r>
      <w:r>
        <w:rPr>
          <w:rFonts w:ascii="仿宋" w:hAnsi="仿宋" w:eastAsia="仿宋" w:cs="楷体_GB2312"/>
          <w:bCs/>
          <w:color w:val="000000" w:themeColor="text1"/>
          <w:sz w:val="28"/>
          <w:szCs w:val="28"/>
          <w14:textFill>
            <w14:solidFill>
              <w14:schemeClr w14:val="tx1"/>
            </w14:solidFill>
          </w14:textFill>
        </w:rPr>
        <w:t>40%乙烯利水剂100～200 g/亩兑水30～40 kg/亩于收获前10～15天进行催熟。</w:t>
      </w:r>
    </w:p>
    <w:p w14:paraId="33C3280D">
      <w:pPr>
        <w:snapToGrid w:val="0"/>
        <w:spacing w:line="600" w:lineRule="exact"/>
        <w:ind w:firstLine="562" w:firstLineChars="200"/>
        <w:rPr>
          <w:rFonts w:ascii="仿宋" w:hAnsi="仿宋" w:eastAsia="仿宋" w:cs="楷体_GB2312"/>
          <w:b/>
          <w:bCs/>
          <w:color w:val="000000" w:themeColor="text1"/>
          <w:sz w:val="28"/>
          <w:szCs w:val="28"/>
          <w14:textFill>
            <w14:solidFill>
              <w14:schemeClr w14:val="tx1"/>
            </w14:solidFill>
          </w14:textFill>
        </w:rPr>
      </w:pPr>
      <w:r>
        <w:rPr>
          <w:rFonts w:hint="eastAsia" w:ascii="仿宋" w:hAnsi="仿宋" w:eastAsia="仿宋" w:cs="楷体_GB2312"/>
          <w:b/>
          <w:bCs/>
          <w:color w:val="000000" w:themeColor="text1"/>
          <w:sz w:val="28"/>
          <w:szCs w:val="28"/>
          <w14:textFill>
            <w14:solidFill>
              <w14:schemeClr w14:val="tx1"/>
            </w14:solidFill>
          </w14:textFill>
        </w:rPr>
        <w:t>3、</w:t>
      </w:r>
      <w:r>
        <w:rPr>
          <w:rFonts w:ascii="仿宋" w:hAnsi="仿宋" w:eastAsia="仿宋" w:cs="楷体_GB2312"/>
          <w:b/>
          <w:bCs/>
          <w:color w:val="000000" w:themeColor="text1"/>
          <w:sz w:val="28"/>
          <w:szCs w:val="28"/>
          <w14:textFill>
            <w14:solidFill>
              <w14:schemeClr w14:val="tx1"/>
            </w14:solidFill>
          </w14:textFill>
        </w:rPr>
        <w:t>作业</w:t>
      </w:r>
    </w:p>
    <w:p w14:paraId="124CE2A5">
      <w:pPr>
        <w:snapToGrid w:val="0"/>
        <w:spacing w:line="600" w:lineRule="exact"/>
        <w:ind w:firstLine="560" w:firstLineChars="200"/>
        <w:rPr>
          <w:rFonts w:ascii="仿宋" w:hAnsi="仿宋" w:eastAsia="仿宋" w:cs="楷体_GB2312"/>
          <w:bCs/>
          <w:color w:val="000000" w:themeColor="text1"/>
          <w:sz w:val="28"/>
          <w:szCs w:val="28"/>
          <w14:textFill>
            <w14:solidFill>
              <w14:schemeClr w14:val="tx1"/>
            </w14:solidFill>
          </w14:textFill>
        </w:rPr>
      </w:pPr>
      <w:r>
        <w:rPr>
          <w:rFonts w:ascii="仿宋" w:hAnsi="仿宋" w:eastAsia="仿宋" w:cs="楷体_GB2312"/>
          <w:bCs/>
          <w:color w:val="000000" w:themeColor="text1"/>
          <w:sz w:val="28"/>
          <w:szCs w:val="28"/>
          <w14:textFill>
            <w14:solidFill>
              <w14:schemeClr w14:val="tx1"/>
            </w14:solidFill>
          </w14:textFill>
        </w:rPr>
        <w:drawing>
          <wp:anchor distT="0" distB="0" distL="114300" distR="114300" simplePos="0" relativeHeight="251662336" behindDoc="0" locked="0" layoutInCell="1" allowOverlap="1">
            <wp:simplePos x="0" y="0"/>
            <wp:positionH relativeFrom="margin">
              <wp:posOffset>56515</wp:posOffset>
            </wp:positionH>
            <wp:positionV relativeFrom="margin">
              <wp:posOffset>2075815</wp:posOffset>
            </wp:positionV>
            <wp:extent cx="5274310" cy="2425700"/>
            <wp:effectExtent l="0" t="0" r="2540" b="0"/>
            <wp:wrapSquare wrapText="bothSides"/>
            <wp:docPr id="4" name="图片 4" descr="D:\工作\2024\6试验照片\20241012收豆子\微信图片_2024101409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工作\2024\6试验照片\20241012收豆子\微信图片_20241014093631.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a:xfrm>
                      <a:off x="0" y="0"/>
                      <a:ext cx="5274310" cy="2425700"/>
                    </a:xfrm>
                    <a:prstGeom prst="rect">
                      <a:avLst/>
                    </a:prstGeom>
                    <a:noFill/>
                    <a:ln>
                      <a:noFill/>
                    </a:ln>
                  </pic:spPr>
                </pic:pic>
              </a:graphicData>
            </a:graphic>
          </wp:anchor>
        </w:drawing>
      </w:r>
      <w:r>
        <w:rPr>
          <w:rFonts w:hint="eastAsia" w:ascii="仿宋" w:hAnsi="仿宋" w:eastAsia="仿宋" w:cs="楷体_GB2312"/>
          <w:bCs/>
          <w:color w:val="000000" w:themeColor="text1"/>
          <w:sz w:val="28"/>
          <w:szCs w:val="28"/>
          <w14:textFill>
            <w14:solidFill>
              <w14:schemeClr w14:val="tx1"/>
            </w14:solidFill>
          </w14:textFill>
        </w:rPr>
        <w:t>选用履带自走式大豆联合收割机或经过调试的小麦联合收割机进行收获。为保证大豆品质和收获质量，要求割茬要低，不留底荚，不丢枝，田间损失率不大于</w:t>
      </w:r>
      <w:r>
        <w:rPr>
          <w:rFonts w:ascii="仿宋" w:hAnsi="仿宋" w:eastAsia="仿宋" w:cs="楷体_GB2312"/>
          <w:bCs/>
          <w:color w:val="000000" w:themeColor="text1"/>
          <w:sz w:val="28"/>
          <w:szCs w:val="28"/>
          <w14:textFill>
            <w14:solidFill>
              <w14:schemeClr w14:val="tx1"/>
            </w14:solidFill>
          </w14:textFill>
        </w:rPr>
        <w:t>1%，破碎率不大于5%，脱粒损失率不大于1%。</w:t>
      </w:r>
    </w:p>
    <w:p w14:paraId="3D1CF257">
      <w:pPr>
        <w:snapToGrid w:val="0"/>
        <w:spacing w:line="600" w:lineRule="exact"/>
        <w:jc w:val="center"/>
        <w:rPr>
          <w:rFonts w:ascii="仿宋" w:hAnsi="仿宋" w:eastAsia="仿宋" w:cs="楷体_GB2312"/>
          <w:bCs/>
          <w:color w:val="000000" w:themeColor="text1"/>
          <w:sz w:val="28"/>
          <w:szCs w:val="28"/>
          <w14:textFill>
            <w14:solidFill>
              <w14:schemeClr w14:val="tx1"/>
            </w14:solidFill>
          </w14:textFill>
        </w:rPr>
      </w:pPr>
      <w:r>
        <w:rPr>
          <w:rFonts w:hint="eastAsia" w:ascii="仿宋" w:hAnsi="仿宋" w:eastAsia="仿宋" w:cs="楷体_GB2312"/>
          <w:b/>
          <w:bCs/>
          <w:color w:val="000000" w:themeColor="text1"/>
          <w:sz w:val="28"/>
          <w:szCs w:val="28"/>
          <w14:textFill>
            <w14:solidFill>
              <w14:schemeClr w14:val="tx1"/>
            </w14:solidFill>
          </w14:textFill>
        </w:rPr>
        <w:t>夏大豆机械化收获</w:t>
      </w:r>
    </w:p>
    <w:p w14:paraId="583AA877">
      <w:pPr>
        <w:adjustRightInd w:val="0"/>
        <w:snapToGrid w:val="0"/>
        <w:spacing w:line="600" w:lineRule="exact"/>
        <w:ind w:firstLine="640"/>
        <w:rPr>
          <w:rFonts w:ascii="黑体" w:hAnsi="黑体" w:eastAsia="黑体"/>
          <w:color w:val="000000" w:themeColor="text1"/>
          <w:sz w:val="32"/>
          <w:szCs w:val="32"/>
          <w14:textFill>
            <w14:solidFill>
              <w14:schemeClr w14:val="tx1"/>
            </w14:solidFill>
          </w14:textFill>
        </w:rPr>
      </w:pPr>
      <w:r>
        <w:rPr>
          <w:rFonts w:ascii="黑体" w:hAnsi="黑体" w:eastAsia="黑体"/>
          <w:color w:val="000000" w:themeColor="text1"/>
          <w:sz w:val="32"/>
          <w:szCs w:val="32"/>
          <w14:textFill>
            <w14:solidFill>
              <w14:schemeClr w14:val="tx1"/>
            </w14:solidFill>
          </w14:textFill>
        </w:rPr>
        <w:t>三、适宜区域</w:t>
      </w:r>
    </w:p>
    <w:p w14:paraId="5952C5FB">
      <w:pPr>
        <w:adjustRightInd w:val="0"/>
        <w:snapToGrid w:val="0"/>
        <w:spacing w:line="600" w:lineRule="exact"/>
        <w:ind w:firstLine="64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该技术适宜陕西省夏大豆种植区以及部分春大豆种植区。</w:t>
      </w:r>
    </w:p>
    <w:p w14:paraId="6496C0D2">
      <w:pPr>
        <w:adjustRightInd w:val="0"/>
        <w:snapToGrid w:val="0"/>
        <w:spacing w:line="600" w:lineRule="exact"/>
        <w:ind w:firstLine="640"/>
        <w:rPr>
          <w:rFonts w:ascii="黑体" w:hAnsi="黑体" w:eastAsia="黑体"/>
          <w:color w:val="000000" w:themeColor="text1"/>
          <w:sz w:val="32"/>
          <w:szCs w:val="32"/>
          <w14:textFill>
            <w14:solidFill>
              <w14:schemeClr w14:val="tx1"/>
            </w14:solidFill>
          </w14:textFill>
        </w:rPr>
      </w:pPr>
      <w:r>
        <w:rPr>
          <w:rFonts w:ascii="黑体" w:hAnsi="黑体" w:eastAsia="黑体"/>
          <w:color w:val="000000" w:themeColor="text1"/>
          <w:sz w:val="32"/>
          <w:szCs w:val="32"/>
          <w14:textFill>
            <w14:solidFill>
              <w14:schemeClr w14:val="tx1"/>
            </w14:solidFill>
          </w14:textFill>
        </w:rPr>
        <w:t>四、注意事项</w:t>
      </w:r>
    </w:p>
    <w:p w14:paraId="7737FF2C">
      <w:pPr>
        <w:adjustRightInd w:val="0"/>
        <w:snapToGrid w:val="0"/>
        <w:spacing w:line="600" w:lineRule="exact"/>
        <w:ind w:firstLine="640"/>
        <w:rPr>
          <w:rFonts w:ascii="楷体" w:hAnsi="楷体" w:eastAsia="楷体"/>
          <w:b/>
          <w:color w:val="000000" w:themeColor="text1"/>
          <w:sz w:val="32"/>
          <w:szCs w:val="32"/>
          <w14:textFill>
            <w14:solidFill>
              <w14:schemeClr w14:val="tx1"/>
            </w14:solidFill>
          </w14:textFill>
        </w:rPr>
      </w:pPr>
      <w:r>
        <w:rPr>
          <w:rFonts w:hint="eastAsia" w:ascii="楷体" w:hAnsi="楷体" w:eastAsia="楷体"/>
          <w:b/>
          <w:sz w:val="32"/>
          <w:szCs w:val="32"/>
        </w:rPr>
        <w:t>（一）播种</w:t>
      </w:r>
    </w:p>
    <w:p w14:paraId="40A55760">
      <w:pPr>
        <w:ind w:firstLine="560" w:firstLineChars="200"/>
        <w:rPr>
          <w:rFonts w:ascii="仿宋" w:hAnsi="仿宋" w:eastAsia="仿宋"/>
          <w:sz w:val="28"/>
          <w:szCs w:val="28"/>
        </w:rPr>
      </w:pPr>
      <w:r>
        <w:rPr>
          <w:rFonts w:hint="eastAsia" w:ascii="仿宋" w:hAnsi="仿宋" w:eastAsia="仿宋"/>
          <w:sz w:val="28"/>
          <w:szCs w:val="28"/>
        </w:rPr>
        <w:t>播种前应根据农艺要求，调整好播种机，进行试播，检查作业质量。播种时要匀速行驶，播后镇压土壤，保证表面无硬盖和龟裂纹。</w:t>
      </w:r>
    </w:p>
    <w:p w14:paraId="3BE51D7D">
      <w:pPr>
        <w:ind w:firstLine="643" w:firstLineChars="200"/>
        <w:rPr>
          <w:rFonts w:ascii="楷体" w:hAnsi="楷体" w:eastAsia="楷体"/>
          <w:b/>
          <w:sz w:val="32"/>
          <w:szCs w:val="32"/>
        </w:rPr>
      </w:pPr>
      <w:r>
        <w:rPr>
          <w:rFonts w:hint="eastAsia" w:ascii="楷体" w:hAnsi="楷体" w:eastAsia="楷体"/>
          <w:b/>
          <w:sz w:val="32"/>
          <w:szCs w:val="32"/>
        </w:rPr>
        <w:t>（二）化学除草</w:t>
      </w:r>
    </w:p>
    <w:p w14:paraId="410CA167">
      <w:pPr>
        <w:ind w:firstLine="560" w:firstLineChars="200"/>
        <w:rPr>
          <w:rFonts w:ascii="仿宋" w:hAnsi="仿宋" w:eastAsia="仿宋"/>
          <w:sz w:val="28"/>
          <w:szCs w:val="28"/>
        </w:rPr>
      </w:pPr>
      <w:r>
        <w:rPr>
          <w:rFonts w:hint="eastAsia" w:ascii="仿宋" w:hAnsi="仿宋" w:eastAsia="仿宋"/>
          <w:sz w:val="28"/>
          <w:szCs w:val="28"/>
        </w:rPr>
        <w:t>除草剂使用过程中避免时间过晚、用量过大和重复喷施，以免产生药害。同时，应注意与非豆科作物的安全距离，避免产生药害。</w:t>
      </w:r>
    </w:p>
    <w:p w14:paraId="162CACF0">
      <w:pPr>
        <w:ind w:firstLine="643" w:firstLineChars="200"/>
        <w:rPr>
          <w:rFonts w:ascii="楷体" w:hAnsi="楷体" w:eastAsia="楷体"/>
          <w:b/>
          <w:sz w:val="32"/>
          <w:szCs w:val="32"/>
        </w:rPr>
      </w:pPr>
      <w:r>
        <w:rPr>
          <w:rFonts w:hint="eastAsia" w:ascii="楷体" w:hAnsi="楷体" w:eastAsia="楷体"/>
          <w:b/>
          <w:sz w:val="32"/>
          <w:szCs w:val="32"/>
        </w:rPr>
        <w:t>（三）机械收获</w:t>
      </w:r>
    </w:p>
    <w:p w14:paraId="18F9A257">
      <w:pPr>
        <w:ind w:firstLine="560" w:firstLineChars="200"/>
        <w:rPr>
          <w:rFonts w:ascii="仿宋" w:hAnsi="仿宋" w:eastAsia="仿宋"/>
          <w:sz w:val="28"/>
          <w:szCs w:val="28"/>
        </w:rPr>
      </w:pPr>
      <w:r>
        <w:rPr>
          <w:rFonts w:hint="eastAsia" w:ascii="仿宋" w:hAnsi="仿宋" w:eastAsia="仿宋"/>
          <w:sz w:val="28"/>
          <w:szCs w:val="28"/>
        </w:rPr>
        <w:t>作业之前进行试收割，如出现大豆籽粒破损、分离不清等问题应及时停机调整。收割机行进方向应与大豆的种植行向一致，可以有效减轻收割阻力，降低机收损失。行进速度应以尽量减少损失率为依据，一般以</w:t>
      </w:r>
      <w:r>
        <w:rPr>
          <w:rFonts w:ascii="仿宋" w:hAnsi="仿宋" w:eastAsia="仿宋"/>
          <w:sz w:val="28"/>
          <w:szCs w:val="28"/>
        </w:rPr>
        <w:t>2档为主，可根据实际情况进行调</w:t>
      </w:r>
      <w:r>
        <w:rPr>
          <w:rFonts w:hint="eastAsia" w:ascii="仿宋" w:hAnsi="仿宋" w:eastAsia="仿宋"/>
          <w:sz w:val="28"/>
          <w:szCs w:val="28"/>
        </w:rPr>
        <w:t>整，同时以无极变速控制割台喂入量。</w:t>
      </w:r>
    </w:p>
    <w:p w14:paraId="0452BE57">
      <w:pPr>
        <w:snapToGrid w:val="0"/>
        <w:spacing w:line="600" w:lineRule="exact"/>
        <w:ind w:firstLine="640" w:firstLineChars="200"/>
        <w:rPr>
          <w:rFonts w:ascii="黑体" w:hAnsi="黑体" w:eastAsia="黑体"/>
          <w:color w:val="000000" w:themeColor="text1"/>
          <w:sz w:val="32"/>
          <w:szCs w:val="32"/>
          <w14:textFill>
            <w14:solidFill>
              <w14:schemeClr w14:val="tx1"/>
            </w14:solidFill>
          </w14:textFill>
        </w:rPr>
      </w:pPr>
      <w:r>
        <w:rPr>
          <w:rFonts w:ascii="黑体" w:hAnsi="黑体" w:eastAsia="黑体"/>
          <w:color w:val="000000" w:themeColor="text1"/>
          <w:sz w:val="32"/>
          <w:szCs w:val="32"/>
          <w14:textFill>
            <w14:solidFill>
              <w14:schemeClr w14:val="tx1"/>
            </w14:solidFill>
          </w14:textFill>
        </w:rPr>
        <w:t>五、技术依托单位</w:t>
      </w:r>
    </w:p>
    <w:p w14:paraId="6C16A182">
      <w:pPr>
        <w:adjustRightInd w:val="0"/>
        <w:snapToGrid w:val="0"/>
        <w:spacing w:line="600" w:lineRule="exact"/>
        <w:ind w:firstLine="562" w:firstLineChars="200"/>
        <w:rPr>
          <w:rFonts w:ascii="仿宋" w:hAnsi="仿宋" w:eastAsia="仿宋" w:cs="仿宋_GB2312"/>
          <w:b/>
          <w:sz w:val="28"/>
          <w:szCs w:val="28"/>
        </w:rPr>
      </w:pPr>
      <w:r>
        <w:rPr>
          <w:rFonts w:hint="eastAsia" w:ascii="仿宋" w:hAnsi="仿宋" w:eastAsia="仿宋" w:cs="仿宋_GB2312"/>
          <w:b/>
          <w:sz w:val="28"/>
          <w:szCs w:val="28"/>
        </w:rPr>
        <w:t>1.宝鸡市农业科学研究院</w:t>
      </w:r>
    </w:p>
    <w:p w14:paraId="01FE4B00">
      <w:pPr>
        <w:adjustRightInd w:val="0"/>
        <w:snapToGrid w:val="0"/>
        <w:spacing w:line="60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联系地址：宝鸡市岐山县朝阳路</w:t>
      </w:r>
      <w:r>
        <w:rPr>
          <w:rFonts w:ascii="仿宋" w:hAnsi="仿宋" w:eastAsia="仿宋" w:cs="仿宋_GB2312"/>
          <w:sz w:val="28"/>
          <w:szCs w:val="28"/>
        </w:rPr>
        <w:t>56号</w:t>
      </w:r>
    </w:p>
    <w:p w14:paraId="43853340">
      <w:pPr>
        <w:adjustRightInd w:val="0"/>
        <w:snapToGrid w:val="0"/>
        <w:spacing w:line="60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邮政编码：722499</w:t>
      </w:r>
    </w:p>
    <w:p w14:paraId="1AAA47B8">
      <w:pPr>
        <w:adjustRightInd w:val="0"/>
        <w:snapToGrid w:val="0"/>
        <w:spacing w:line="60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联 系 人：屈  洋</w:t>
      </w:r>
    </w:p>
    <w:p w14:paraId="7D705E6F">
      <w:pPr>
        <w:adjustRightInd w:val="0"/>
        <w:snapToGrid w:val="0"/>
        <w:spacing w:line="60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联系电话：15129852855</w:t>
      </w:r>
    </w:p>
    <w:p w14:paraId="754441EF">
      <w:pPr>
        <w:adjustRightInd w:val="0"/>
        <w:snapToGrid w:val="0"/>
        <w:spacing w:line="600" w:lineRule="exact"/>
        <w:ind w:firstLine="560" w:firstLineChars="200"/>
        <w:rPr>
          <w:rStyle w:val="7"/>
          <w:rFonts w:ascii="仿宋" w:hAnsi="仿宋" w:eastAsia="仿宋" w:cs="仿宋_GB2312"/>
          <w:color w:val="auto"/>
          <w:sz w:val="28"/>
          <w:szCs w:val="28"/>
          <w:u w:val="none"/>
        </w:rPr>
      </w:pPr>
      <w:r>
        <w:rPr>
          <w:rFonts w:hint="eastAsia" w:ascii="仿宋" w:hAnsi="仿宋" w:eastAsia="仿宋" w:cs="仿宋_GB2312"/>
          <w:sz w:val="28"/>
          <w:szCs w:val="28"/>
        </w:rPr>
        <w:t>电子邮箱：</w:t>
      </w:r>
      <w:r>
        <w:fldChar w:fldCharType="begin"/>
      </w:r>
      <w:r>
        <w:instrText xml:space="preserve"> HYPERLINK "mailto:man2019@163.com" </w:instrText>
      </w:r>
      <w:r>
        <w:fldChar w:fldCharType="separate"/>
      </w:r>
      <w:r>
        <w:rPr>
          <w:rStyle w:val="7"/>
          <w:rFonts w:hint="eastAsia" w:ascii="仿宋" w:hAnsi="仿宋" w:eastAsia="仿宋" w:cs="仿宋_GB2312"/>
          <w:color w:val="auto"/>
          <w:sz w:val="28"/>
          <w:szCs w:val="28"/>
          <w:u w:val="none"/>
        </w:rPr>
        <w:t>man2019@</w:t>
      </w:r>
      <w:r>
        <w:rPr>
          <w:rStyle w:val="7"/>
          <w:rFonts w:ascii="仿宋" w:hAnsi="仿宋" w:eastAsia="仿宋" w:cs="仿宋_GB2312"/>
          <w:color w:val="auto"/>
          <w:sz w:val="28"/>
          <w:szCs w:val="28"/>
          <w:u w:val="none"/>
        </w:rPr>
        <w:t>1</w:t>
      </w:r>
      <w:r>
        <w:rPr>
          <w:rStyle w:val="7"/>
          <w:rFonts w:hint="eastAsia" w:ascii="仿宋" w:hAnsi="仿宋" w:eastAsia="仿宋" w:cs="仿宋_GB2312"/>
          <w:color w:val="auto"/>
          <w:sz w:val="28"/>
          <w:szCs w:val="28"/>
          <w:u w:val="none"/>
        </w:rPr>
        <w:t>63.</w:t>
      </w:r>
      <w:r>
        <w:rPr>
          <w:rStyle w:val="7"/>
          <w:rFonts w:ascii="仿宋" w:hAnsi="仿宋" w:eastAsia="仿宋" w:cs="仿宋_GB2312"/>
          <w:color w:val="auto"/>
          <w:sz w:val="28"/>
          <w:szCs w:val="28"/>
          <w:u w:val="none"/>
        </w:rPr>
        <w:t>com</w:t>
      </w:r>
      <w:r>
        <w:rPr>
          <w:rStyle w:val="7"/>
          <w:rFonts w:ascii="仿宋" w:hAnsi="仿宋" w:eastAsia="仿宋" w:cs="仿宋_GB2312"/>
          <w:color w:val="auto"/>
          <w:sz w:val="28"/>
          <w:szCs w:val="28"/>
          <w:u w:val="none"/>
        </w:rPr>
        <w:fldChar w:fldCharType="end"/>
      </w:r>
    </w:p>
    <w:p w14:paraId="7F7A201B">
      <w:pPr>
        <w:adjustRightInd w:val="0"/>
        <w:snapToGrid w:val="0"/>
        <w:spacing w:line="600" w:lineRule="exact"/>
        <w:ind w:firstLine="562" w:firstLineChars="200"/>
        <w:rPr>
          <w:rStyle w:val="7"/>
          <w:rFonts w:ascii="仿宋" w:hAnsi="仿宋" w:eastAsia="仿宋" w:cs="仿宋_GB2312"/>
          <w:b/>
          <w:color w:val="auto"/>
          <w:sz w:val="28"/>
          <w:szCs w:val="28"/>
          <w:u w:val="none"/>
        </w:rPr>
      </w:pPr>
      <w:r>
        <w:rPr>
          <w:rStyle w:val="7"/>
          <w:rFonts w:hint="eastAsia" w:ascii="仿宋" w:hAnsi="仿宋" w:eastAsia="仿宋" w:cs="仿宋_GB2312"/>
          <w:b/>
          <w:color w:val="auto"/>
          <w:sz w:val="28"/>
          <w:szCs w:val="28"/>
          <w:u w:val="none"/>
        </w:rPr>
        <w:t>2.陇县农业技术推广服务中心</w:t>
      </w:r>
    </w:p>
    <w:p w14:paraId="23267918">
      <w:pPr>
        <w:adjustRightInd w:val="0"/>
        <w:snapToGrid w:val="0"/>
        <w:spacing w:line="60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联系地址：宝鸡市陇县陇马路21号</w:t>
      </w:r>
    </w:p>
    <w:p w14:paraId="3CE49157">
      <w:pPr>
        <w:adjustRightInd w:val="0"/>
        <w:snapToGrid w:val="0"/>
        <w:spacing w:line="60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邮政编码：721200</w:t>
      </w:r>
    </w:p>
    <w:p w14:paraId="63E23481">
      <w:pPr>
        <w:adjustRightInd w:val="0"/>
        <w:snapToGrid w:val="0"/>
        <w:spacing w:line="60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联 系 人：余陇辉</w:t>
      </w:r>
    </w:p>
    <w:p w14:paraId="45A4704A">
      <w:pPr>
        <w:adjustRightInd w:val="0"/>
        <w:snapToGrid w:val="0"/>
        <w:spacing w:line="60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联系电话：15291743856</w:t>
      </w:r>
    </w:p>
    <w:p w14:paraId="2D7C58D6">
      <w:pPr>
        <w:adjustRightInd w:val="0"/>
        <w:snapToGrid w:val="0"/>
        <w:spacing w:line="600" w:lineRule="exact"/>
        <w:ind w:firstLine="560" w:firstLineChars="200"/>
        <w:rPr>
          <w:rStyle w:val="7"/>
          <w:rFonts w:ascii="仿宋" w:hAnsi="仿宋" w:eastAsia="仿宋" w:cs="仿宋_GB2312"/>
          <w:color w:val="auto"/>
          <w:sz w:val="28"/>
          <w:szCs w:val="28"/>
          <w:u w:val="none"/>
        </w:rPr>
      </w:pPr>
      <w:r>
        <w:rPr>
          <w:rFonts w:hint="eastAsia" w:ascii="仿宋" w:hAnsi="仿宋" w:eastAsia="仿宋" w:cs="仿宋_GB2312"/>
          <w:sz w:val="28"/>
          <w:szCs w:val="28"/>
        </w:rPr>
        <w:t>电子邮箱：</w:t>
      </w:r>
      <w:r>
        <w:rPr>
          <w:rFonts w:ascii="仿宋" w:hAnsi="仿宋" w:eastAsia="仿宋" w:cs="仿宋_GB2312"/>
          <w:sz w:val="28"/>
          <w:szCs w:val="28"/>
        </w:rPr>
        <w:t>LXNJZX@163.com</w:t>
      </w:r>
    </w:p>
    <w:p w14:paraId="6B01002A">
      <w:pPr>
        <w:adjustRightInd w:val="0"/>
        <w:snapToGrid w:val="0"/>
        <w:spacing w:line="600" w:lineRule="exact"/>
        <w:ind w:firstLine="562" w:firstLineChars="200"/>
        <w:rPr>
          <w:rStyle w:val="7"/>
          <w:rFonts w:ascii="仿宋" w:hAnsi="仿宋" w:eastAsia="仿宋" w:cs="仿宋_GB2312"/>
          <w:b/>
          <w:color w:val="auto"/>
          <w:sz w:val="28"/>
          <w:szCs w:val="28"/>
          <w:u w:val="none"/>
        </w:rPr>
      </w:pPr>
      <w:r>
        <w:rPr>
          <w:rStyle w:val="7"/>
          <w:rFonts w:hint="eastAsia" w:ascii="仿宋" w:hAnsi="仿宋" w:eastAsia="仿宋" w:cs="仿宋_GB2312"/>
          <w:b/>
          <w:color w:val="auto"/>
          <w:sz w:val="28"/>
          <w:szCs w:val="28"/>
          <w:u w:val="none"/>
        </w:rPr>
        <w:t>3.凤翔区农业技术推广服务中心</w:t>
      </w:r>
    </w:p>
    <w:p w14:paraId="6610FB38">
      <w:pPr>
        <w:adjustRightInd w:val="0"/>
        <w:snapToGrid w:val="0"/>
        <w:spacing w:line="60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联系地址：宝鸡市凤翔区秦凤路</w:t>
      </w:r>
      <w:r>
        <w:rPr>
          <w:rFonts w:ascii="仿宋" w:hAnsi="仿宋" w:eastAsia="仿宋" w:cs="仿宋_GB2312"/>
          <w:sz w:val="28"/>
          <w:szCs w:val="28"/>
        </w:rPr>
        <w:t>3号</w:t>
      </w:r>
    </w:p>
    <w:p w14:paraId="4CC5E06E">
      <w:pPr>
        <w:adjustRightInd w:val="0"/>
        <w:snapToGrid w:val="0"/>
        <w:spacing w:line="60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邮政编码：721000</w:t>
      </w:r>
    </w:p>
    <w:p w14:paraId="652666BD">
      <w:pPr>
        <w:adjustRightInd w:val="0"/>
        <w:snapToGrid w:val="0"/>
        <w:spacing w:line="60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联 系 人：寸红刚</w:t>
      </w:r>
    </w:p>
    <w:p w14:paraId="53223A52">
      <w:pPr>
        <w:adjustRightInd w:val="0"/>
        <w:snapToGrid w:val="0"/>
        <w:spacing w:line="60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联系电话：13772703302</w:t>
      </w:r>
    </w:p>
    <w:p w14:paraId="7062AFAA">
      <w:pPr>
        <w:adjustRightInd w:val="0"/>
        <w:snapToGrid w:val="0"/>
        <w:spacing w:line="60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电子邮箱：</w:t>
      </w:r>
      <w:r>
        <w:rPr>
          <w:rFonts w:ascii="仿宋" w:hAnsi="仿宋" w:eastAsia="仿宋" w:cs="仿宋_GB2312"/>
          <w:sz w:val="28"/>
          <w:szCs w:val="28"/>
        </w:rPr>
        <w:t>fx7282085@163.com</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5AE"/>
    <w:rsid w:val="00061527"/>
    <w:rsid w:val="000A43BD"/>
    <w:rsid w:val="000D0353"/>
    <w:rsid w:val="00181726"/>
    <w:rsid w:val="001D6222"/>
    <w:rsid w:val="00203B71"/>
    <w:rsid w:val="002104DF"/>
    <w:rsid w:val="0025157D"/>
    <w:rsid w:val="002758AD"/>
    <w:rsid w:val="002F1E27"/>
    <w:rsid w:val="003129A2"/>
    <w:rsid w:val="003222A2"/>
    <w:rsid w:val="00367F15"/>
    <w:rsid w:val="00375943"/>
    <w:rsid w:val="003B05B0"/>
    <w:rsid w:val="003B25AE"/>
    <w:rsid w:val="003B3822"/>
    <w:rsid w:val="003D5727"/>
    <w:rsid w:val="00451366"/>
    <w:rsid w:val="00465B08"/>
    <w:rsid w:val="0047765C"/>
    <w:rsid w:val="004D7B70"/>
    <w:rsid w:val="004E12A5"/>
    <w:rsid w:val="005520AC"/>
    <w:rsid w:val="005B2B91"/>
    <w:rsid w:val="005D2BB6"/>
    <w:rsid w:val="005D5555"/>
    <w:rsid w:val="006341FF"/>
    <w:rsid w:val="00646D4D"/>
    <w:rsid w:val="006A711D"/>
    <w:rsid w:val="006E062A"/>
    <w:rsid w:val="007A4E18"/>
    <w:rsid w:val="007F05DB"/>
    <w:rsid w:val="00876247"/>
    <w:rsid w:val="0088161C"/>
    <w:rsid w:val="008A3BFB"/>
    <w:rsid w:val="008F5812"/>
    <w:rsid w:val="00941632"/>
    <w:rsid w:val="00976DB7"/>
    <w:rsid w:val="009811A5"/>
    <w:rsid w:val="00A137E0"/>
    <w:rsid w:val="00A35BC1"/>
    <w:rsid w:val="00A52668"/>
    <w:rsid w:val="00A5439A"/>
    <w:rsid w:val="00A5681D"/>
    <w:rsid w:val="00A73225"/>
    <w:rsid w:val="00A821DE"/>
    <w:rsid w:val="00A94AD7"/>
    <w:rsid w:val="00AE3E15"/>
    <w:rsid w:val="00B04A88"/>
    <w:rsid w:val="00B05442"/>
    <w:rsid w:val="00B16B3B"/>
    <w:rsid w:val="00B56484"/>
    <w:rsid w:val="00BC0A86"/>
    <w:rsid w:val="00BE6AA1"/>
    <w:rsid w:val="00C21CF2"/>
    <w:rsid w:val="00C400E9"/>
    <w:rsid w:val="00C4399F"/>
    <w:rsid w:val="00CF5232"/>
    <w:rsid w:val="00DA3D77"/>
    <w:rsid w:val="00DD4929"/>
    <w:rsid w:val="00DF6782"/>
    <w:rsid w:val="00E24BA5"/>
    <w:rsid w:val="00E44B09"/>
    <w:rsid w:val="00EE7CF8"/>
    <w:rsid w:val="00F0636F"/>
    <w:rsid w:val="00F42604"/>
    <w:rsid w:val="00F76EFC"/>
    <w:rsid w:val="00F852F7"/>
    <w:rsid w:val="00FC0CEE"/>
    <w:rsid w:val="00FF4C69"/>
    <w:rsid w:val="6ECC41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uiPriority w:val="99"/>
    <w:rPr>
      <w:color w:val="0563C1" w:themeColor="hyperlink"/>
      <w:u w:val="single"/>
      <w14:textFill>
        <w14:solidFill>
          <w14:schemeClr w14:val="hlink"/>
        </w14:solidFill>
      </w14:textFill>
    </w:rPr>
  </w:style>
  <w:style w:type="character" w:customStyle="1" w:styleId="8">
    <w:name w:val="页眉 字符"/>
    <w:basedOn w:val="6"/>
    <w:link w:val="4"/>
    <w:uiPriority w:val="99"/>
    <w:rPr>
      <w:sz w:val="18"/>
      <w:szCs w:val="18"/>
    </w:rPr>
  </w:style>
  <w:style w:type="character" w:customStyle="1" w:styleId="9">
    <w:name w:val="页脚 字符"/>
    <w:basedOn w:val="6"/>
    <w:link w:val="3"/>
    <w:uiPriority w:val="99"/>
    <w:rPr>
      <w:sz w:val="18"/>
      <w:szCs w:val="18"/>
    </w:rPr>
  </w:style>
  <w:style w:type="character" w:customStyle="1" w:styleId="10">
    <w:name w:val="批注框文本 字符"/>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microsoft.com/office/2007/relationships/hdphoto" Target="media/image5.wdp"/><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1F4BF-E685-4360-BB48-08FF71EB57C7}">
  <ds:schemaRefs/>
</ds:datastoreItem>
</file>

<file path=docProps/app.xml><?xml version="1.0" encoding="utf-8"?>
<Properties xmlns="http://schemas.openxmlformats.org/officeDocument/2006/extended-properties" xmlns:vt="http://schemas.openxmlformats.org/officeDocument/2006/docPropsVTypes">
  <Template>Normal.dotm</Template>
  <Pages>8</Pages>
  <Words>2913</Words>
  <Characters>3218</Characters>
  <Lines>23</Lines>
  <Paragraphs>6</Paragraphs>
  <TotalTime>218</TotalTime>
  <ScaleCrop>false</ScaleCrop>
  <LinksUpToDate>false</LinksUpToDate>
  <CharactersWithSpaces>3257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2024-01-02T00:37:00Z</dcterms:created>
  <dc:creator>abb</dc:creator>
  <cp:lastModifiedBy>忙里偷闲</cp:lastModifiedBy>
  <cp:lastPrinted>2024-10-17T00:46:00Z</cp:lastPrinted>
  <dcterms:modified xsi:type="dcterms:W3CDTF">2024-12-31T01:23:06Z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610D732AEC5C4AB9B6E498F4BD7B2F40_12</vt:lpwstr>
  </property>
</Properties>
</file>