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3B704">
      <w:pPr>
        <w:adjustRightInd w:val="0"/>
        <w:snapToGrid w:val="0"/>
        <w:spacing w:line="55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</w:p>
    <w:p w14:paraId="58648469">
      <w:pPr>
        <w:adjustRightInd w:val="0"/>
        <w:snapToGrid w:val="0"/>
        <w:spacing w:line="550" w:lineRule="exact"/>
        <w:jc w:val="center"/>
        <w:rPr>
          <w:rFonts w:ascii="Times New Roman" w:hAnsi="Times New Roman" w:eastAsia="黑体" w:cs="Times New Roman"/>
          <w:bCs/>
          <w:sz w:val="44"/>
          <w:szCs w:val="44"/>
        </w:rPr>
      </w:pPr>
      <w:bookmarkStart w:id="8" w:name="_GoBack"/>
      <w:r>
        <w:rPr>
          <w:rFonts w:hint="eastAsia" w:ascii="Times New Roman" w:hAnsi="Times New Roman" w:eastAsia="黑体" w:cs="Times New Roman"/>
          <w:bCs/>
          <w:sz w:val="44"/>
          <w:szCs w:val="44"/>
          <w:lang w:val="en-US" w:eastAsia="zh-CN"/>
        </w:rPr>
        <w:t>14.</w:t>
      </w:r>
      <w:r>
        <w:rPr>
          <w:rFonts w:ascii="Times New Roman" w:hAnsi="Times New Roman" w:eastAsia="黑体" w:cs="Times New Roman"/>
          <w:bCs/>
          <w:sz w:val="44"/>
          <w:szCs w:val="44"/>
        </w:rPr>
        <w:t xml:space="preserve"> 谷子轻简化生产技术</w:t>
      </w:r>
    </w:p>
    <w:bookmarkEnd w:id="8"/>
    <w:p w14:paraId="1B09079B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</w:p>
    <w:p w14:paraId="13B090F6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一、技术概述</w:t>
      </w:r>
    </w:p>
    <w:p w14:paraId="16636C76">
      <w:pPr>
        <w:snapToGrid w:val="0"/>
        <w:spacing w:line="550" w:lineRule="exact"/>
        <w:ind w:firstLine="643" w:firstLineChars="200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（一）技术基本情况</w:t>
      </w:r>
    </w:p>
    <w:p w14:paraId="31E52EBB">
      <w:pPr>
        <w:snapToGrid w:val="0"/>
        <w:spacing w:line="550" w:lineRule="exact"/>
        <w:ind w:firstLine="640" w:firstLineChars="200"/>
        <w:rPr>
          <w:rFonts w:ascii="Times New Roman" w:hAnsi="Times New Roman" w:eastAsia="宋体" w:cs="Times New Roman"/>
          <w:bCs/>
          <w:sz w:val="32"/>
          <w:szCs w:val="32"/>
          <w:lang w:eastAsia="zh-TW"/>
        </w:rPr>
      </w:pP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《全国农业可持续发展规划</w:t>
      </w:r>
      <w:r>
        <w:rPr>
          <w:rFonts w:ascii="Times New Roman" w:hAnsi="Times New Roman" w:eastAsia="宋体" w:cs="Times New Roman"/>
          <w:bCs/>
          <w:sz w:val="32"/>
          <w:szCs w:val="32"/>
          <w:lang w:eastAsia="zh-TW"/>
        </w:rPr>
        <w:t>(2015</w:t>
      </w:r>
      <w:r>
        <w:rPr>
          <w:rFonts w:ascii="Times New Roman" w:hAnsi="Times New Roman" w:eastAsia="宋体" w:cs="Times New Roman"/>
          <w:bCs/>
          <w:sz w:val="32"/>
          <w:szCs w:val="32"/>
        </w:rPr>
        <w:t>—</w:t>
      </w:r>
      <w:r>
        <w:rPr>
          <w:rFonts w:ascii="Times New Roman" w:hAnsi="Times New Roman" w:eastAsia="宋体" w:cs="Times New Roman"/>
          <w:bCs/>
          <w:sz w:val="32"/>
          <w:szCs w:val="32"/>
          <w:lang w:eastAsia="zh-TW"/>
        </w:rPr>
        <w:t>2030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年</w:t>
      </w:r>
      <w:r>
        <w:rPr>
          <w:rFonts w:ascii="Times New Roman" w:hAnsi="Times New Roman" w:eastAsia="宋体" w:cs="Times New Roman"/>
          <w:bCs/>
          <w:sz w:val="32"/>
          <w:szCs w:val="32"/>
          <w:lang w:eastAsia="zh-TW"/>
        </w:rPr>
        <w:t>)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》中提出：优化农业生产布局，要坚持因地制宜，稳定发展有比较优势、区域性特色农业；突出生态屏障、特色产区、稳农增收三大功能，大力发展旱作节水农业、循环农业和生态农业。而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相对抗旱、抗逆、耐瘠薄，是典型的环境友好型作物，基本种植在山地、旱地、台地等耕种条件较差的土地上，完全是雨养农业模式，农民基本很少追肥、很少喷施农药，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机械化生产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技术</w:t>
      </w:r>
      <w:r>
        <w:rPr>
          <w:rFonts w:ascii="Times New Roman" w:hAnsi="Times New Roman" w:eastAsia="宋体" w:cs="Times New Roman"/>
          <w:bCs/>
          <w:sz w:val="32"/>
          <w:szCs w:val="32"/>
        </w:rPr>
        <w:t>推广应用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有利于巩固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种植面积，提高农民种植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的积极性，使撂荒地得到复种，有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助于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耕地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的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占补平衡，保护生物的多样性，实现农业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的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可持续发展。</w:t>
      </w:r>
    </w:p>
    <w:p w14:paraId="099C8E9B">
      <w:pPr>
        <w:snapToGrid w:val="0"/>
        <w:spacing w:line="550" w:lineRule="exact"/>
        <w:ind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该技术针对谷子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生产中劳动力资源投入多、劳动强度大,生产成本高、生产效率低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，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农村劳动力匮乏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，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昂贵的人工费用和繁重的体力劳动在很大程度上降低了农民对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种植的积极性</w:t>
      </w:r>
      <w:r>
        <w:rPr>
          <w:rFonts w:ascii="Times New Roman" w:hAnsi="Times New Roman" w:eastAsia="宋体" w:cs="Times New Roman"/>
          <w:bCs/>
          <w:sz w:val="32"/>
          <w:szCs w:val="32"/>
        </w:rPr>
        <w:t>的问题，研究形成的谷子轻简化生产技术体系。通过该技术，实现了谷子机械化精量播种免间苗技术，飞喷化学除草和机械化收获技术。解决了谷子传统播种后间苗费时费工的难题；解决人工匮乏和劳动力成本过高的问题，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推动</w:t>
      </w:r>
      <w:r>
        <w:rPr>
          <w:rFonts w:ascii="Times New Roman" w:hAnsi="Times New Roman" w:eastAsia="宋体" w:cs="Times New Roman"/>
          <w:bCs/>
          <w:sz w:val="32"/>
          <w:szCs w:val="32"/>
        </w:rPr>
        <w:t>了谷子生产的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规模经营，提升农业生产效率和降低生产成本，促进农业发展方式转变，破解我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市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农业生产面临的</w:t>
      </w:r>
      <w:r>
        <w:rPr>
          <w:rFonts w:ascii="Times New Roman" w:hAnsi="Times New Roman" w:eastAsia="宋体" w:cs="Times New Roman"/>
          <w:bCs/>
          <w:sz w:val="32"/>
          <w:szCs w:val="32"/>
          <w:lang w:eastAsia="zh-TW"/>
        </w:rPr>
        <w:t>“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谁来种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、怎么种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</w:t>
      </w:r>
      <w:r>
        <w:rPr>
          <w:rFonts w:ascii="Times New Roman" w:hAnsi="Times New Roman" w:eastAsia="宋体" w:cs="Times New Roman"/>
          <w:bCs/>
          <w:sz w:val="32"/>
          <w:szCs w:val="32"/>
          <w:lang w:eastAsia="zh-TW"/>
        </w:rPr>
        <w:t>”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的难题，不断提高</w:t>
      </w:r>
      <w:r>
        <w:rPr>
          <w:rFonts w:ascii="Times New Roman" w:hAnsi="Times New Roman" w:eastAsia="宋体" w:cs="Times New Roman"/>
          <w:bCs/>
          <w:sz w:val="32"/>
          <w:szCs w:val="32"/>
          <w:lang w:val="zh-TW"/>
        </w:rPr>
        <w:t>我市</w:t>
      </w:r>
      <w:r>
        <w:rPr>
          <w:rFonts w:ascii="Times New Roman" w:hAnsi="Times New Roman" w:eastAsia="宋体" w:cs="Times New Roman"/>
          <w:bCs/>
          <w:sz w:val="32"/>
          <w:szCs w:val="32"/>
        </w:rPr>
        <w:t>谷子产业</w:t>
      </w:r>
      <w:r>
        <w:rPr>
          <w:rFonts w:ascii="Times New Roman" w:hAnsi="Times New Roman" w:eastAsia="宋体" w:cs="Times New Roman"/>
          <w:bCs/>
          <w:sz w:val="32"/>
          <w:szCs w:val="32"/>
          <w:lang w:val="zh-TW" w:eastAsia="zh-TW"/>
        </w:rPr>
        <w:t>的综合生产能力和市场竞争力。</w:t>
      </w:r>
      <w:r>
        <w:rPr>
          <w:rFonts w:ascii="Times New Roman" w:hAnsi="Times New Roman" w:eastAsia="宋体" w:cs="Times New Roman"/>
          <w:bCs/>
          <w:sz w:val="32"/>
          <w:szCs w:val="32"/>
        </w:rPr>
        <w:t>实现了榆林谷子生产农机农艺融合、良种良法配套、生产生态协调，保障了粮食安全，践行了藏粮于地、藏粮于技的政治要求。</w:t>
      </w:r>
    </w:p>
    <w:p w14:paraId="07DF1495">
      <w:pPr>
        <w:snapToGrid w:val="0"/>
        <w:spacing w:line="550" w:lineRule="exact"/>
        <w:ind w:firstLine="643" w:firstLineChars="200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（二）技术示范推广情况</w:t>
      </w:r>
    </w:p>
    <w:p w14:paraId="39437C6D">
      <w:pPr>
        <w:tabs>
          <w:tab w:val="left" w:pos="480"/>
        </w:tabs>
        <w:spacing w:line="550" w:lineRule="exact"/>
        <w:ind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2018—2022年，核心技术“谷子精量免间苗播种技术”在榆林多地进行试验示范，获得良好效果。其中2018年在</w:t>
      </w:r>
      <w:bookmarkStart w:id="0" w:name="OLE_LINK30"/>
      <w:bookmarkStart w:id="1" w:name="OLE_LINK31"/>
      <w:r>
        <w:rPr>
          <w:rFonts w:ascii="Times New Roman" w:hAnsi="Times New Roman" w:eastAsia="宋体" w:cs="Times New Roman"/>
          <w:bCs/>
          <w:sz w:val="32"/>
          <w:szCs w:val="32"/>
        </w:rPr>
        <w:t>榆阳区榆卜界和岔河则排则湾村</w:t>
      </w:r>
      <w:bookmarkEnd w:id="0"/>
      <w:bookmarkEnd w:id="1"/>
      <w:r>
        <w:rPr>
          <w:rFonts w:ascii="Times New Roman" w:hAnsi="Times New Roman" w:eastAsia="宋体" w:cs="Times New Roman"/>
          <w:bCs/>
          <w:sz w:val="32"/>
          <w:szCs w:val="32"/>
        </w:rPr>
        <w:t>分别示范400亩和1034亩谷子机械化生产技术，采用该播种技术播种出苗均匀、整齐，亩播种量125—250 g（可调），</w:t>
      </w:r>
      <w:bookmarkStart w:id="2" w:name="OLE_LINK60"/>
      <w:r>
        <w:rPr>
          <w:rFonts w:ascii="Times New Roman" w:hAnsi="Times New Roman" w:eastAsia="宋体" w:cs="Times New Roman"/>
          <w:bCs/>
          <w:sz w:val="32"/>
          <w:szCs w:val="32"/>
        </w:rPr>
        <w:t>收获采用约翰迪尔W230联合收割机，对榆阳区榆卜界和岔河则排则湾村示范的1434亩进行收获。结果表明每台机子每天作业8—10 h，可收获400亩左右，干净度85%以上，收获损失率10%以下。</w:t>
      </w:r>
      <w:bookmarkEnd w:id="2"/>
      <w:r>
        <w:rPr>
          <w:rFonts w:ascii="Times New Roman" w:hAnsi="Times New Roman" w:eastAsia="宋体" w:cs="Times New Roman"/>
          <w:bCs/>
          <w:sz w:val="32"/>
          <w:szCs w:val="32"/>
        </w:rPr>
        <w:t>2018年9月30日现场测产，测定其中220亩（5月20日播种）平均亩产529 kg，600亩（6月6日播种）平均亩产456.2 kg，214亩（6月8日播种）平均亩产411.7 kg，总平均亩产440.8 kg。2019年</w:t>
      </w:r>
      <w:bookmarkStart w:id="3" w:name="OLE_LINK10"/>
      <w:bookmarkStart w:id="4" w:name="OLE_LINK11"/>
      <w:r>
        <w:rPr>
          <w:rFonts w:ascii="Times New Roman" w:hAnsi="Times New Roman" w:eastAsia="宋体" w:cs="Times New Roman"/>
          <w:bCs/>
          <w:sz w:val="32"/>
          <w:szCs w:val="32"/>
        </w:rPr>
        <w:t>在神木市锦界镇沟掌村示范S748（</w:t>
      </w:r>
      <w:bookmarkStart w:id="5" w:name="OLE_LINK9"/>
      <w:r>
        <w:rPr>
          <w:rFonts w:ascii="Times New Roman" w:hAnsi="Times New Roman" w:eastAsia="宋体" w:cs="Times New Roman"/>
          <w:bCs/>
          <w:sz w:val="32"/>
          <w:szCs w:val="32"/>
        </w:rPr>
        <w:t>豫谷35</w:t>
      </w:r>
      <w:bookmarkEnd w:id="5"/>
      <w:r>
        <w:rPr>
          <w:rFonts w:ascii="Times New Roman" w:hAnsi="Times New Roman" w:eastAsia="宋体" w:cs="Times New Roman"/>
          <w:bCs/>
          <w:sz w:val="32"/>
          <w:szCs w:val="32"/>
        </w:rPr>
        <w:t>）1800亩，采取机械化生产技术，2019年9月29日经相关专家现场测产，平均亩产351.0 kg；11月3日用</w:t>
      </w:r>
      <w:bookmarkStart w:id="6" w:name="OLE_LINK29"/>
      <w:r>
        <w:rPr>
          <w:rFonts w:ascii="Times New Roman" w:hAnsi="Times New Roman" w:eastAsia="宋体" w:cs="Times New Roman"/>
          <w:bCs/>
          <w:sz w:val="32"/>
          <w:szCs w:val="32"/>
        </w:rPr>
        <w:t>约翰迪尔W230联合收割机</w:t>
      </w:r>
      <w:bookmarkEnd w:id="6"/>
      <w:r>
        <w:rPr>
          <w:rFonts w:ascii="Times New Roman" w:hAnsi="Times New Roman" w:eastAsia="宋体" w:cs="Times New Roman"/>
          <w:bCs/>
          <w:sz w:val="32"/>
          <w:szCs w:val="32"/>
        </w:rPr>
        <w:t>收获，平均实收亩产306.3 kg。除去各种投入，平均亩纯收入近800元</w:t>
      </w:r>
      <w:bookmarkEnd w:id="3"/>
      <w:bookmarkEnd w:id="4"/>
      <w:r>
        <w:rPr>
          <w:rFonts w:ascii="Times New Roman" w:hAnsi="Times New Roman" w:eastAsia="宋体" w:cs="Times New Roman"/>
          <w:bCs/>
          <w:sz w:val="32"/>
          <w:szCs w:val="32"/>
        </w:rPr>
        <w:t>。2020年在神木、榆阳北部草滩区建立1000亩以上全程机械化示范基地3个，共计5600亩。示范基地谷子亩产255—406 kg，纯效益400—800元/亩。2021年在榆阳区红石桥乡油家湾村示范种植谷子轻简化栽培2500亩，其中榆谷抗1种植1500亩，豫谷35示范种植1000亩，榆谷抗1亩产320.1 kg，豫谷35平均亩产351.4 kg，亩节约劳动力4—5个，亩节约劳动力成本600余元。2022年在榆阳区可可盖水地示范抗除草剂谷子品种轻简化生产技术2700亩，种植品种榆谷抗1号1200亩，豫谷35号1500亩，配套除草剂拿捕净、2,4滴异辛酯。由于榆林今年霜冻来的过早，榆谷抗1没有正常成熟，亩产327.3 kg。豫谷35亩产401.8 kg。仍比当地传统生产谷子增产明显，仅5个种植人员就可全程管理2700亩的生产。节本增效效果显著。</w:t>
      </w:r>
    </w:p>
    <w:p w14:paraId="68E07CE0">
      <w:pPr>
        <w:tabs>
          <w:tab w:val="left" w:pos="480"/>
        </w:tabs>
        <w:spacing w:line="550" w:lineRule="exact"/>
        <w:ind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2016—2022年，该项技术在米脂、神木、佳县、子洲、横山、靖边、榆阳等谷子主产县区的进行了示范推广，累计推广面积达到121.05万亩，并涌现出一批增产增收典型，取得了显著的经济社会效益。</w:t>
      </w:r>
    </w:p>
    <w:p w14:paraId="75D1F6AE">
      <w:pPr>
        <w:snapToGrid w:val="0"/>
        <w:spacing w:line="550" w:lineRule="exact"/>
        <w:ind w:firstLine="643" w:firstLineChars="200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（三）提质增效情况</w:t>
      </w:r>
    </w:p>
    <w:p w14:paraId="2589B0E3">
      <w:pPr>
        <w:snapToGrid w:val="0"/>
        <w:spacing w:line="550" w:lineRule="exact"/>
        <w:ind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和传统种植技术相比，应用该技术亩可增产谷子7.4%以上，亩节约劳动力7—9个，亩增收节支1000余元。通过该技术的推广应用，带动谷子产业化开发，在提高粮食综合生产能力的同时，培育形成榆林小杂粮产区农村经济发展的主导产业，增加农民收入、提高从业人员素质，促进自然资源优势向技术经济优势的转变，对产区的社会经济发展、新农村建设和产业扶贫起到积极的促进作用。该技术推广应用后，有效增加了地面植被覆盖率，减轻风蚀和扬尘危害，减少水土流失。推广高效水分利用栽培技术，有利于保护地下水资源，创建节约型农业；提高水肥管理水平，能做到精准施肥，减少了化肥使用量，有利于降低土壤化学残留，减少环境污染，具有明显的生态效益。</w:t>
      </w:r>
    </w:p>
    <w:p w14:paraId="35FA6D15">
      <w:pPr>
        <w:snapToGrid w:val="0"/>
        <w:spacing w:line="550" w:lineRule="exact"/>
        <w:ind w:firstLine="643" w:firstLineChars="200"/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楷体" w:cs="Times New Roman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（四）技术获奖情况</w:t>
      </w:r>
    </w:p>
    <w:p w14:paraId="4DAD1C9E">
      <w:pPr>
        <w:spacing w:line="550" w:lineRule="exact"/>
        <w:ind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取得实用新型发明专利5项，未申报科技奖励。</w:t>
      </w:r>
    </w:p>
    <w:p w14:paraId="261D1C95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二、技术要点</w:t>
      </w:r>
    </w:p>
    <w:p w14:paraId="55151064">
      <w:pPr>
        <w:adjustRightInd w:val="0"/>
        <w:snapToGrid w:val="0"/>
        <w:spacing w:line="550" w:lineRule="exact"/>
        <w:ind w:left="105" w:leftChars="50" w:firstLine="643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1. 优质高产谷子新品种选择</w:t>
      </w:r>
      <w:r>
        <w:rPr>
          <w:rFonts w:ascii="Times New Roman" w:hAnsi="Times New Roman" w:eastAsia="宋体" w:cs="Times New Roman"/>
          <w:bCs/>
          <w:sz w:val="32"/>
          <w:szCs w:val="32"/>
        </w:rPr>
        <w:t>：商品形状好、品质优；矮秆抗倒、高产田块大面积种植可达到350 kg/亩；抗</w:t>
      </w:r>
      <w:r>
        <w:rPr>
          <w:rFonts w:ascii="Times New Roman" w:hAnsi="Times New Roman" w:eastAsia="宋体" w:cs="Times New Roman"/>
          <w:bCs/>
          <w:sz w:val="32"/>
          <w:szCs w:val="32"/>
          <w:u w:val="dotted"/>
        </w:rPr>
        <w:t>谷瘟病</w:t>
      </w:r>
      <w:r>
        <w:rPr>
          <w:rFonts w:ascii="Times New Roman" w:hAnsi="Times New Roman" w:eastAsia="宋体" w:cs="Times New Roman"/>
          <w:bCs/>
          <w:sz w:val="32"/>
          <w:szCs w:val="32"/>
        </w:rPr>
        <w:t>、白发病，抗旱、耐涝，稳产性好。</w:t>
      </w:r>
    </w:p>
    <w:p w14:paraId="2AA4689F">
      <w:pPr>
        <w:spacing w:line="55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2. 精量播种</w:t>
      </w:r>
    </w:p>
    <w:p w14:paraId="0EA21F4B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2.1 播前准备</w:t>
      </w:r>
    </w:p>
    <w:p w14:paraId="422F3DAD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2.1.1 机具准备。选择装置齐全、各传动系统工作可靠的谷子精量播种机，检査播种机是否正确挂接，检査排种、排肥部分是否通畅；检査传动系统，保证传动部件工作正常，螺丝无松动。按照生产需要调整播种量和施肥量。</w:t>
      </w:r>
    </w:p>
    <w:p w14:paraId="50197A49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2.1.2 种子处理。播前进行精选，剔除杂质、秕粒。种子使用药剂拌种或包衣处理，白发病严重的地区用甲霜灵拌种。播前将种子在阳光下晒2—3 d</w:t>
      </w:r>
    </w:p>
    <w:p w14:paraId="710276E3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2.2 播种期</w:t>
      </w:r>
    </w:p>
    <w:p w14:paraId="6E84BE06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根据当地气候条件和耕作制度，适期播种。春播区播种期在5月5日至5月25日，山旱地区根据降雨及时抢墒抢时早播快播。</w:t>
      </w:r>
    </w:p>
    <w:p w14:paraId="263C2F8E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2.3 机械播种</w:t>
      </w:r>
    </w:p>
    <w:p w14:paraId="46466815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调整精量播种机，播种深度3 cm。播种时机具要保持直线行走；往返的播幅衔接应无重播和漏播。作业时，要注意观察种、肥箱内的种、肥存量，及时添加；作业速度按照使用说明书的要求选择。</w:t>
      </w:r>
    </w:p>
    <w:p w14:paraId="15604BF4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2.4 封闭除草</w:t>
      </w:r>
    </w:p>
    <w:p w14:paraId="6B30D18C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播种后出苗前2 d内无雨，应及时封闭除草，每公顷用1.5～1.8 kg谷友（44%单嘧磺隆），兑水750 kg后机械喷雾。</w:t>
      </w:r>
    </w:p>
    <w:p w14:paraId="69A3920C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2.5 种植密度</w:t>
      </w:r>
    </w:p>
    <w:p w14:paraId="536A4573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种植密度因品种、土壤肥力、播期不同而异。土壤肥力低时宜密，播期晚时宜密。春播区：旱山地为30万株/hm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bCs/>
          <w:sz w:val="32"/>
          <w:szCs w:val="32"/>
        </w:rPr>
        <w:t>— 37.5万株/hm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，旱塬地为37.5万株/hm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bCs/>
          <w:sz w:val="32"/>
          <w:szCs w:val="32"/>
        </w:rPr>
        <w:t>— 45万株/hm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，坝地为30万株/hm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bCs/>
          <w:sz w:val="32"/>
          <w:szCs w:val="32"/>
        </w:rPr>
        <w:t>— 45万株hm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。</w:t>
      </w:r>
    </w:p>
    <w:p w14:paraId="3216D0F0">
      <w:pPr>
        <w:spacing w:line="55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3 田间管理</w:t>
      </w:r>
    </w:p>
    <w:p w14:paraId="08B3DC3A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3.1 苗期除草</w:t>
      </w:r>
    </w:p>
    <w:p w14:paraId="1C1CB4D4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根据品种特性选用除草剂类型，4—5叶期，抗除草剂品种用72%的2，4—D丁酯乳油450 mL/hm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bCs/>
          <w:sz w:val="32"/>
          <w:szCs w:val="32"/>
        </w:rPr>
        <w:t>— 750 mL/hm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，配制800—1000倍液喷雾。抗拿捕净品种用12.5%拿捕净乳油（烯禾啶）1200 mL/hm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 xml:space="preserve">2 </w:t>
      </w:r>
      <w:r>
        <w:rPr>
          <w:rFonts w:ascii="Times New Roman" w:hAnsi="Times New Roman" w:eastAsia="宋体" w:cs="Times New Roman"/>
          <w:bCs/>
          <w:sz w:val="32"/>
          <w:szCs w:val="32"/>
        </w:rPr>
        <w:t>—1500 mL/hm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，配制500倍液喷雾。</w:t>
      </w:r>
    </w:p>
    <w:p w14:paraId="6B5406D4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3.2 追肥</w:t>
      </w:r>
    </w:p>
    <w:p w14:paraId="4A7DE797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谷子孕穗期，结合机械中耕培土，选择阴雨天气追施尿素112.5 kg/hm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（7.5 kg/667m</w:t>
      </w:r>
      <w:r>
        <w:rPr>
          <w:rFonts w:ascii="Times New Roman" w:hAnsi="Times New Roman" w:eastAsia="宋体" w:cs="Times New Roman"/>
          <w:bCs/>
          <w:sz w:val="32"/>
          <w:szCs w:val="32"/>
          <w:vertAlign w:val="superscript"/>
        </w:rPr>
        <w:t>2</w:t>
      </w:r>
      <w:r>
        <w:rPr>
          <w:rFonts w:ascii="Times New Roman" w:hAnsi="Times New Roman" w:eastAsia="宋体" w:cs="Times New Roman"/>
          <w:bCs/>
          <w:sz w:val="32"/>
          <w:szCs w:val="32"/>
        </w:rPr>
        <w:t>）。</w:t>
      </w:r>
    </w:p>
    <w:p w14:paraId="169C6F81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3.3 病虫害防治</w:t>
      </w:r>
    </w:p>
    <w:p w14:paraId="50848170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3.3.1 农艺措施。选择抗病品种；及时清除田间出现或遗留的病残株；清除地头和田间杂草；避免使用未腐熟的有机肥；加强田间管理，增强植株抗病能力。</w:t>
      </w:r>
    </w:p>
    <w:p w14:paraId="5769630F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3.3.2 药剂防治。农药使用应符合GB/T 8321、NY/T 1276—2007的规定。</w:t>
      </w:r>
    </w:p>
    <w:p w14:paraId="0CB0BC69">
      <w:pPr>
        <w:spacing w:line="550" w:lineRule="exact"/>
        <w:ind w:firstLine="643" w:firstLineChars="200"/>
        <w:rPr>
          <w:rFonts w:ascii="Times New Roman" w:hAnsi="Times New Roman" w:eastAsia="楷体" w:cs="Times New Roman"/>
          <w:b/>
          <w:sz w:val="32"/>
          <w:szCs w:val="32"/>
        </w:rPr>
      </w:pPr>
      <w:r>
        <w:rPr>
          <w:rFonts w:ascii="Times New Roman" w:hAnsi="Times New Roman" w:eastAsia="楷体" w:cs="Times New Roman"/>
          <w:b/>
          <w:sz w:val="32"/>
          <w:szCs w:val="32"/>
        </w:rPr>
        <w:t>4 机械收获</w:t>
      </w:r>
    </w:p>
    <w:p w14:paraId="7636BFD4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4.1 机械联合收获</w:t>
      </w:r>
    </w:p>
    <w:p w14:paraId="0D9E24C5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籽粒成熟，种子含水量20%以下时及时收获。适宜收获时间为晴天9:00以后。机械准备区长度应不少于6 m，停车区长度应不少于10 m。</w:t>
      </w:r>
    </w:p>
    <w:p w14:paraId="6B4813F5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4.2 机械分段收获</w:t>
      </w:r>
    </w:p>
    <w:p w14:paraId="765A8595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谷穗80％的籽粒成熟后要及时割晒，5—7 d后选择晴天田间露水干后捡拾脱粒。预留1个机身的长度，按照：机组准备—机械割晒—自然晾晒—捡拾脱粒的作业流程操作。</w:t>
      </w:r>
    </w:p>
    <w:p w14:paraId="30441668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三、适宜区域</w:t>
      </w:r>
    </w:p>
    <w:p w14:paraId="39BDBD04">
      <w:pPr>
        <w:adjustRightInd w:val="0"/>
        <w:snapToGrid w:val="0"/>
        <w:spacing w:line="550" w:lineRule="exact"/>
        <w:ind w:left="105" w:leftChars="50" w:firstLine="640" w:firstLineChars="20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陕北及周边相似区域</w:t>
      </w:r>
    </w:p>
    <w:p w14:paraId="50F7C78B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四、注意事项</w:t>
      </w:r>
    </w:p>
    <w:p w14:paraId="44E09B4F">
      <w:pPr>
        <w:adjustRightInd w:val="0"/>
        <w:snapToGrid w:val="0"/>
        <w:spacing w:line="550" w:lineRule="exact"/>
        <w:ind w:firstLine="64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如果因为天气原因造成封闭除草效果不佳，应及时采取苗后化学除草处理。</w:t>
      </w:r>
    </w:p>
    <w:p w14:paraId="01B6D041">
      <w:pPr>
        <w:adjustRightInd w:val="0"/>
        <w:snapToGrid w:val="0"/>
        <w:spacing w:line="55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五、技术依托单位</w:t>
      </w:r>
    </w:p>
    <w:p w14:paraId="7DA6C5B5">
      <w:pPr>
        <w:adjustRightInd w:val="0"/>
        <w:snapToGrid w:val="0"/>
        <w:spacing w:line="550" w:lineRule="exact"/>
        <w:ind w:firstLine="64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榆林市农业科学研究院</w:t>
      </w:r>
    </w:p>
    <w:p w14:paraId="41BF5159">
      <w:pPr>
        <w:adjustRightInd w:val="0"/>
        <w:snapToGrid w:val="0"/>
        <w:spacing w:line="550" w:lineRule="exact"/>
        <w:ind w:firstLine="640"/>
        <w:rPr>
          <w:rFonts w:ascii="Times New Roman" w:hAnsi="Times New Roman" w:eastAsia="宋体" w:cs="Times New Roman"/>
          <w:bCs/>
          <w:sz w:val="32"/>
          <w:szCs w:val="32"/>
        </w:rPr>
      </w:pPr>
      <w:bookmarkStart w:id="7" w:name="_Hlk129943105"/>
      <w:r>
        <w:rPr>
          <w:rFonts w:ascii="Times New Roman" w:hAnsi="Times New Roman" w:eastAsia="宋体" w:cs="Times New Roman"/>
          <w:bCs/>
          <w:sz w:val="32"/>
          <w:szCs w:val="32"/>
        </w:rPr>
        <w:t>联系地址：榆林市榆阳区上郡南路14号</w:t>
      </w:r>
    </w:p>
    <w:p w14:paraId="43E3C2C4">
      <w:pPr>
        <w:adjustRightInd w:val="0"/>
        <w:snapToGrid w:val="0"/>
        <w:spacing w:line="550" w:lineRule="exact"/>
        <w:ind w:firstLine="64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邮政编码：719000</w:t>
      </w:r>
    </w:p>
    <w:p w14:paraId="03BBD2F5">
      <w:pPr>
        <w:adjustRightInd w:val="0"/>
        <w:snapToGrid w:val="0"/>
        <w:spacing w:line="550" w:lineRule="exact"/>
        <w:ind w:firstLine="64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联 系 人：王  孟</w:t>
      </w:r>
    </w:p>
    <w:p w14:paraId="5760DBDF">
      <w:pPr>
        <w:adjustRightInd w:val="0"/>
        <w:snapToGrid w:val="0"/>
        <w:spacing w:line="550" w:lineRule="exact"/>
        <w:ind w:firstLine="640"/>
        <w:rPr>
          <w:rFonts w:ascii="Times New Roman" w:hAnsi="Times New Roman" w:eastAsia="宋体" w:cs="Times New Roman"/>
          <w:bCs/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联系电话：0912—3351253，13571267568</w:t>
      </w:r>
    </w:p>
    <w:p w14:paraId="4DF29FA4">
      <w:pPr>
        <w:rPr>
          <w:sz w:val="32"/>
          <w:szCs w:val="32"/>
        </w:rPr>
      </w:pPr>
      <w:r>
        <w:rPr>
          <w:rFonts w:ascii="Times New Roman" w:hAnsi="Times New Roman" w:eastAsia="宋体" w:cs="Times New Roman"/>
          <w:bCs/>
          <w:sz w:val="32"/>
          <w:szCs w:val="32"/>
        </w:rPr>
        <w:t>电子邮箱：wangmeng3214@126.co</w:t>
      </w:r>
      <w:bookmarkEnd w:id="7"/>
      <w:r>
        <w:rPr>
          <w:rFonts w:ascii="Times New Roman" w:hAnsi="Times New Roman" w:eastAsia="宋体" w:cs="Times New Roman"/>
          <w:bCs/>
          <w:sz w:val="32"/>
          <w:szCs w:val="32"/>
        </w:rPr>
        <w:t>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E6C0F"/>
    <w:rsid w:val="2E4E6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/>
    </w:pPr>
    <w:rPr>
      <w:rFonts w:eastAsia="仿宋_GB2312"/>
      <w:sz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2024-12-31T01:18:00Z</dcterms:created>
  <dc:creator>忙里偷闲</dc:creator>
  <cp:lastModifiedBy>忙里偷闲</cp:lastModifiedBy>
  <dcterms:modified xsi:type="dcterms:W3CDTF">2024-12-31T01:20:36Z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7FABA330B6CD42CFBD5C6E412B692AA2_11</vt:lpwstr>
  </property>
</Properties>
</file>