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A9F514">
      <w:pPr>
        <w:spacing w:line="640" w:lineRule="exact"/>
        <w:jc w:val="center"/>
        <w:rPr>
          <w:rFonts w:hint="eastAsia" w:ascii="方正小标宋简体" w:hAnsi="方正小标宋简体" w:eastAsia="方正小标宋简体" w:cs="方正小标宋简体"/>
          <w:bCs/>
          <w:sz w:val="36"/>
          <w:szCs w:val="36"/>
        </w:rPr>
      </w:pPr>
    </w:p>
    <w:p w14:paraId="2A2327D7">
      <w:pPr>
        <w:spacing w:line="640" w:lineRule="exact"/>
        <w:jc w:val="center"/>
        <w:rPr>
          <w:rFonts w:hint="eastAsia"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lang w:val="en-US" w:eastAsia="zh-CN"/>
        </w:rPr>
        <w:t>8.</w:t>
      </w:r>
      <w:r>
        <w:rPr>
          <w:rFonts w:hint="eastAsia" w:ascii="方正小标宋简体" w:hAnsi="方正小标宋简体" w:eastAsia="方正小标宋简体" w:cs="方正小标宋简体"/>
          <w:bCs/>
          <w:sz w:val="36"/>
          <w:szCs w:val="36"/>
        </w:rPr>
        <w:t>西甜瓜克服连作障碍关键技术</w:t>
      </w:r>
    </w:p>
    <w:p w14:paraId="5FCB7010">
      <w:pPr>
        <w:spacing w:line="640" w:lineRule="exact"/>
        <w:jc w:val="center"/>
        <w:rPr>
          <w:rFonts w:hint="eastAsia" w:ascii="方正小标宋简体" w:hAnsi="方正小标宋简体" w:eastAsia="方正小标宋简体" w:cs="方正小标宋简体"/>
          <w:bCs/>
          <w:sz w:val="36"/>
          <w:szCs w:val="36"/>
        </w:rPr>
      </w:pPr>
    </w:p>
    <w:p w14:paraId="3E1B5A71">
      <w:pPr>
        <w:adjustRightInd w:val="0"/>
        <w:snapToGrid w:val="0"/>
        <w:spacing w:line="640" w:lineRule="exact"/>
        <w:ind w:firstLine="640" w:firstLineChars="200"/>
        <w:rPr>
          <w:rFonts w:ascii="Times New Roman" w:hAnsi="Times New Roman" w:eastAsia="黑体"/>
          <w:bCs/>
          <w:color w:val="000000" w:themeColor="text1"/>
          <w:sz w:val="32"/>
          <w:szCs w:val="32"/>
          <w14:textFill>
            <w14:solidFill>
              <w14:schemeClr w14:val="tx1"/>
            </w14:solidFill>
          </w14:textFill>
        </w:rPr>
      </w:pPr>
      <w:r>
        <w:rPr>
          <w:rFonts w:ascii="Times New Roman" w:hAnsi="Times New Roman" w:eastAsia="黑体"/>
          <w:bCs/>
          <w:color w:val="000000" w:themeColor="text1"/>
          <w:sz w:val="32"/>
          <w:szCs w:val="32"/>
          <w14:textFill>
            <w14:solidFill>
              <w14:schemeClr w14:val="tx1"/>
            </w14:solidFill>
          </w14:textFill>
        </w:rPr>
        <w:t>一、技术概述</w:t>
      </w:r>
    </w:p>
    <w:p w14:paraId="52019B8C">
      <w:pPr>
        <w:snapToGrid w:val="0"/>
        <w:spacing w:line="640" w:lineRule="exact"/>
        <w:ind w:firstLine="643" w:firstLineChars="200"/>
        <w:rPr>
          <w:rFonts w:ascii="仿宋_GB2312" w:hAnsi="Times New Roman" w:eastAsia="仿宋_GB2312"/>
          <w:color w:val="000000" w:themeColor="text1"/>
          <w:sz w:val="28"/>
          <w:szCs w:val="28"/>
          <w14:textFill>
            <w14:solidFill>
              <w14:schemeClr w14:val="tx1"/>
            </w14:solidFill>
          </w14:textFill>
        </w:rPr>
      </w:pPr>
      <w:r>
        <w:rPr>
          <w:rFonts w:hint="eastAsia" w:ascii="楷体" w:hAnsi="楷体" w:eastAsia="楷体"/>
          <w:b/>
          <w:bCs/>
          <w:color w:val="000000" w:themeColor="text1"/>
          <w:sz w:val="32"/>
          <w:szCs w:val="32"/>
          <w14:textFill>
            <w14:solidFill>
              <w14:schemeClr w14:val="tx1"/>
            </w14:solidFill>
          </w14:textFill>
        </w:rPr>
        <w:t>（一）基本情况</w:t>
      </w:r>
      <w:bookmarkStart w:id="0" w:name="_Hlk178440287"/>
      <w:r>
        <w:rPr>
          <w:rFonts w:ascii="仿宋_GB2312" w:hAnsi="Times New Roman" w:eastAsia="仿宋_GB2312"/>
          <w:color w:val="000000" w:themeColor="text1"/>
          <w:sz w:val="28"/>
          <w:szCs w:val="28"/>
          <w14:textFill>
            <w14:solidFill>
              <w14:schemeClr w14:val="tx1"/>
            </w14:solidFill>
          </w14:textFill>
        </w:rPr>
        <w:t>（</w:t>
      </w:r>
      <w:r>
        <w:rPr>
          <w:rFonts w:hint="eastAsia" w:ascii="仿宋_GB2312" w:hAnsi="Times New Roman" w:eastAsia="仿宋_GB2312"/>
          <w:color w:val="000000" w:themeColor="text1"/>
          <w:sz w:val="28"/>
          <w:szCs w:val="28"/>
          <w14:textFill>
            <w14:solidFill>
              <w14:schemeClr w14:val="tx1"/>
            </w14:solidFill>
          </w14:textFill>
        </w:rPr>
        <w:t>研发推广背景、技术要点及</w:t>
      </w:r>
      <w:r>
        <w:rPr>
          <w:rFonts w:ascii="仿宋_GB2312" w:hAnsi="Times New Roman" w:eastAsia="仿宋_GB2312"/>
          <w:color w:val="000000" w:themeColor="text1"/>
          <w:sz w:val="28"/>
          <w:szCs w:val="28"/>
          <w14:textFill>
            <w14:solidFill>
              <w14:schemeClr w14:val="tx1"/>
            </w14:solidFill>
          </w14:textFill>
        </w:rPr>
        <w:t>解决的主要问题等）</w:t>
      </w:r>
      <w:bookmarkEnd w:id="0"/>
    </w:p>
    <w:p w14:paraId="180E96CD">
      <w:pPr>
        <w:snapToGrid w:val="0"/>
        <w:spacing w:line="640" w:lineRule="exact"/>
        <w:ind w:firstLine="560" w:firstLineChars="200"/>
        <w:rPr>
          <w:rFonts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近年来，我国西甜瓜设施栽培面积发展迅速。但设施用地常年重复在同一个棚室内种植同一种作物，极易出现生长发育不良或病虫害严重，产量和品质下降的现象，即连作障碍。而西瓜和甜瓜是典型的忌重茬作物，多年的连作种瓜导致连作障碍问题日益明显，发生严重时会还可能造成绝收。因此，如何解决设施栽培连作障碍问题，是制约西甜瓜产业绿色可持续发展的关键因素。</w:t>
      </w:r>
    </w:p>
    <w:p w14:paraId="704545D5">
      <w:pPr>
        <w:snapToGrid w:val="0"/>
        <w:spacing w:line="640" w:lineRule="exact"/>
        <w:ind w:firstLine="560" w:firstLineChars="200"/>
        <w:rPr>
          <w:rFonts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西甜瓜设施连作障碍包括土传病害、土壤次生盐渍化和自毒作用等。本技术研发集成了高温闷棚、轮作、使用生物菌肥（菌剂）、增施有机肥、土壤消毒、嫁接和无土栽培等方法，通过克服连作障碍关键技术的实施，可以有效改善土壤生态环境、降低土传病害的发生率，减少农药施用量，提高肥料利用率和西甜瓜产量，改善品质，实现西甜瓜产业的提质增效。</w:t>
      </w:r>
    </w:p>
    <w:p w14:paraId="668E39C2">
      <w:pPr>
        <w:snapToGrid w:val="0"/>
        <w:spacing w:line="640" w:lineRule="exact"/>
        <w:ind w:firstLine="640"/>
        <w:rPr>
          <w:rFonts w:ascii="仿宋_GB2312" w:hAnsi="Times New Roman" w:eastAsia="仿宋_GB2312"/>
          <w:color w:val="000000" w:themeColor="text1"/>
          <w:sz w:val="28"/>
          <w:szCs w:val="28"/>
          <w14:textFill>
            <w14:solidFill>
              <w14:schemeClr w14:val="tx1"/>
            </w14:solidFill>
          </w14:textFill>
        </w:rPr>
      </w:pPr>
      <w:r>
        <w:rPr>
          <w:rFonts w:ascii="楷体" w:hAnsi="楷体" w:eastAsia="楷体"/>
          <w:b/>
          <w:bCs/>
          <w:color w:val="000000" w:themeColor="text1"/>
          <w:sz w:val="32"/>
          <w:szCs w:val="32"/>
          <w14:textFill>
            <w14:solidFill>
              <w14:schemeClr w14:val="tx1"/>
            </w14:solidFill>
          </w14:textFill>
        </w:rPr>
        <w:t>（二）</w:t>
      </w:r>
      <w:r>
        <w:rPr>
          <w:rFonts w:hint="eastAsia" w:ascii="楷体" w:hAnsi="楷体" w:eastAsia="楷体"/>
          <w:b/>
          <w:bCs/>
          <w:color w:val="000000" w:themeColor="text1"/>
          <w:sz w:val="32"/>
          <w:szCs w:val="32"/>
          <w14:textFill>
            <w14:solidFill>
              <w14:schemeClr w14:val="tx1"/>
            </w14:solidFill>
          </w14:textFill>
        </w:rPr>
        <w:t>推广应用</w:t>
      </w:r>
      <w:r>
        <w:rPr>
          <w:rFonts w:ascii="楷体" w:hAnsi="楷体" w:eastAsia="楷体"/>
          <w:b/>
          <w:bCs/>
          <w:color w:val="000000" w:themeColor="text1"/>
          <w:sz w:val="32"/>
          <w:szCs w:val="32"/>
          <w14:textFill>
            <w14:solidFill>
              <w14:schemeClr w14:val="tx1"/>
            </w14:solidFill>
          </w14:textFill>
        </w:rPr>
        <w:t>情况</w:t>
      </w:r>
      <w:r>
        <w:rPr>
          <w:rFonts w:ascii="仿宋_GB2312" w:hAnsi="Times New Roman" w:eastAsia="仿宋_GB2312"/>
          <w:color w:val="000000" w:themeColor="text1"/>
          <w:sz w:val="28"/>
          <w:szCs w:val="28"/>
          <w14:textFill>
            <w14:solidFill>
              <w14:schemeClr w14:val="tx1"/>
            </w14:solidFill>
          </w14:textFill>
        </w:rPr>
        <w:t>（</w:t>
      </w:r>
      <w:r>
        <w:rPr>
          <w:rFonts w:hint="eastAsia" w:ascii="仿宋_GB2312" w:hAnsi="Times New Roman" w:eastAsia="仿宋_GB2312"/>
          <w:color w:val="000000" w:themeColor="text1"/>
          <w:sz w:val="28"/>
          <w:szCs w:val="28"/>
          <w14:textFill>
            <w14:solidFill>
              <w14:schemeClr w14:val="tx1"/>
            </w14:solidFill>
          </w14:textFill>
        </w:rPr>
        <w:t>近3年推广应用的范围、规模</w:t>
      </w:r>
      <w:r>
        <w:rPr>
          <w:rFonts w:ascii="仿宋_GB2312" w:hAnsi="Times New Roman" w:eastAsia="仿宋_GB2312"/>
          <w:color w:val="000000" w:themeColor="text1"/>
          <w:sz w:val="28"/>
          <w:szCs w:val="28"/>
          <w14:textFill>
            <w14:solidFill>
              <w14:schemeClr w14:val="tx1"/>
            </w14:solidFill>
          </w14:textFill>
        </w:rPr>
        <w:t>）</w:t>
      </w:r>
    </w:p>
    <w:p w14:paraId="1C106912">
      <w:pPr>
        <w:snapToGrid w:val="0"/>
        <w:spacing w:line="640" w:lineRule="exact"/>
        <w:ind w:firstLine="640"/>
        <w:rPr>
          <w:rFonts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西甜瓜克服连作障碍关键技术以杨凌地区设施西甜瓜产业为中心进行较大范围的推广示范，辐射渭南、西安、宝鸡、咸阳、延安、榆林等地区和宁夏、甘肃、新疆等西北地区已累计推广应用120万亩以上，经济社会效果显著。</w:t>
      </w:r>
    </w:p>
    <w:p w14:paraId="7B1B6F6B">
      <w:pPr>
        <w:snapToGrid w:val="0"/>
        <w:spacing w:line="640" w:lineRule="exact"/>
        <w:ind w:firstLine="640"/>
        <w:rPr>
          <w:rFonts w:ascii="仿宋_GB2312" w:hAnsi="Times New Roman" w:eastAsia="仿宋_GB2312"/>
          <w:color w:val="000000" w:themeColor="text1"/>
          <w:sz w:val="28"/>
          <w:szCs w:val="28"/>
          <w14:textFill>
            <w14:solidFill>
              <w14:schemeClr w14:val="tx1"/>
            </w14:solidFill>
          </w14:textFill>
        </w:rPr>
      </w:pPr>
      <w:r>
        <w:rPr>
          <w:rFonts w:ascii="楷体" w:hAnsi="楷体" w:eastAsia="楷体"/>
          <w:b/>
          <w:bCs/>
          <w:color w:val="000000" w:themeColor="text1"/>
          <w:sz w:val="32"/>
          <w:szCs w:val="32"/>
          <w14:textFill>
            <w14:solidFill>
              <w14:schemeClr w14:val="tx1"/>
            </w14:solidFill>
          </w14:textFill>
        </w:rPr>
        <w:t>（三）提质增效情况</w:t>
      </w:r>
      <w:r>
        <w:rPr>
          <w:rFonts w:ascii="仿宋_GB2312" w:hAnsi="Times New Roman" w:eastAsia="仿宋_GB2312"/>
          <w:color w:val="000000" w:themeColor="text1"/>
          <w:sz w:val="28"/>
          <w:szCs w:val="28"/>
          <w14:textFill>
            <w14:solidFill>
              <w14:schemeClr w14:val="tx1"/>
            </w14:solidFill>
          </w14:textFill>
        </w:rPr>
        <w:t>（试验示范或推广</w:t>
      </w:r>
      <w:r>
        <w:rPr>
          <w:rFonts w:hint="eastAsia" w:ascii="仿宋_GB2312" w:hAnsi="Times New Roman" w:eastAsia="仿宋_GB2312"/>
          <w:color w:val="000000" w:themeColor="text1"/>
          <w:sz w:val="28"/>
          <w:szCs w:val="28"/>
          <w14:textFill>
            <w14:solidFill>
              <w14:schemeClr w14:val="tx1"/>
            </w14:solidFill>
          </w14:textFill>
        </w:rPr>
        <w:t>应用</w:t>
      </w:r>
      <w:r>
        <w:rPr>
          <w:rFonts w:ascii="仿宋_GB2312" w:hAnsi="Times New Roman" w:eastAsia="仿宋_GB2312"/>
          <w:color w:val="000000" w:themeColor="text1"/>
          <w:sz w:val="28"/>
          <w:szCs w:val="28"/>
          <w14:textFill>
            <w14:solidFill>
              <w14:schemeClr w14:val="tx1"/>
            </w14:solidFill>
          </w14:textFill>
        </w:rPr>
        <w:t>过程中节约成本、提升品质、增加效益、保护耕地与生态环保等情况）</w:t>
      </w:r>
    </w:p>
    <w:p w14:paraId="7FFE0635">
      <w:pPr>
        <w:snapToGrid w:val="0"/>
        <w:spacing w:line="600" w:lineRule="exact"/>
        <w:ind w:firstLine="640"/>
        <w:rPr>
          <w:rFonts w:ascii="仿宋" w:hAnsi="仿宋" w:eastAsia="仿宋" w:cs="楷体_GB2312"/>
          <w:color w:val="000000" w:themeColor="text1"/>
          <w:sz w:val="28"/>
          <w:szCs w:val="28"/>
          <w14:textFill>
            <w14:solidFill>
              <w14:schemeClr w14:val="tx1"/>
            </w14:solidFill>
          </w14:textFill>
        </w:rPr>
      </w:pPr>
      <w:r>
        <w:rPr>
          <w:rFonts w:hint="eastAsia" w:ascii="仿宋" w:hAnsi="仿宋" w:eastAsia="仿宋" w:cs="楷体_GB2312"/>
          <w:color w:val="000000" w:themeColor="text1"/>
          <w:sz w:val="28"/>
          <w:szCs w:val="28"/>
          <w14:textFill>
            <w14:solidFill>
              <w14:schemeClr w14:val="tx1"/>
            </w14:solidFill>
          </w14:textFill>
        </w:rPr>
        <w:t>西甜瓜克服连作障碍关键技术的应用大幅度提高了陕西乃至西北地区设施西甜瓜生产技术水平，实现节水、节肥、减药，整个生育期农药和化肥用量减少70%，病害发生率降低80%，产量和品质明显提高，综合效益提高10%，经济、社会和生态效益显著。在促进农民增收的同时，随着西甜瓜产业的</w:t>
      </w:r>
      <w:r>
        <w:rPr>
          <w:rFonts w:hint="eastAsia" w:ascii="仿宋_GB2312" w:hAnsi="Times New Roman" w:eastAsia="仿宋_GB2312"/>
          <w:color w:val="000000" w:themeColor="text1"/>
          <w:sz w:val="28"/>
          <w:szCs w:val="28"/>
          <w14:textFill>
            <w14:solidFill>
              <w14:schemeClr w14:val="tx1"/>
            </w14:solidFill>
          </w14:textFill>
        </w:rPr>
        <w:t>不断</w:t>
      </w:r>
      <w:r>
        <w:rPr>
          <w:rFonts w:hint="eastAsia" w:ascii="仿宋" w:hAnsi="仿宋" w:eastAsia="仿宋" w:cs="楷体_GB2312"/>
          <w:color w:val="000000" w:themeColor="text1"/>
          <w:sz w:val="28"/>
          <w:szCs w:val="28"/>
          <w14:textFill>
            <w14:solidFill>
              <w14:schemeClr w14:val="tx1"/>
            </w14:solidFill>
          </w14:textFill>
        </w:rPr>
        <w:t>发展壮大，也为相关产业的发展增加做出了重要贡献。</w:t>
      </w:r>
    </w:p>
    <w:p w14:paraId="7DA32DEC">
      <w:pPr>
        <w:snapToGrid w:val="0"/>
        <w:spacing w:line="640" w:lineRule="exact"/>
        <w:ind w:firstLine="643" w:firstLineChars="200"/>
        <w:rPr>
          <w:rFonts w:ascii="Times New Roman" w:hAnsi="Times New Roman" w:eastAsia="楷体_GB2312"/>
          <w:bCs/>
          <w:color w:val="000000" w:themeColor="text1"/>
          <w:sz w:val="28"/>
          <w:szCs w:val="28"/>
          <w14:textFill>
            <w14:solidFill>
              <w14:schemeClr w14:val="tx1"/>
            </w14:solidFill>
          </w14:textFill>
        </w:rPr>
      </w:pPr>
      <w:r>
        <w:rPr>
          <w:rFonts w:hint="eastAsia" w:ascii="楷体" w:hAnsi="楷体" w:eastAsia="楷体"/>
          <w:b/>
          <w:bCs/>
          <w:color w:val="000000" w:themeColor="text1"/>
          <w:sz w:val="32"/>
          <w:szCs w:val="32"/>
          <w14:textFill>
            <w14:solidFill>
              <w14:schemeClr w14:val="tx1"/>
            </w14:solidFill>
          </w14:textFill>
        </w:rPr>
        <w:t>（四）获奖情况</w:t>
      </w:r>
      <w:r>
        <w:rPr>
          <w:rFonts w:hint="eastAsia" w:ascii="仿宋_GB2312" w:hAnsi="Times New Roman" w:eastAsia="仿宋_GB2312"/>
          <w:color w:val="000000" w:themeColor="text1"/>
          <w:sz w:val="28"/>
          <w:szCs w:val="28"/>
          <w14:textFill>
            <w14:solidFill>
              <w14:schemeClr w14:val="tx1"/>
            </w14:solidFill>
          </w14:textFill>
        </w:rPr>
        <w:t>（以该技术为核心的成果获得的科技奖励情况）</w:t>
      </w:r>
    </w:p>
    <w:p w14:paraId="5D6F8444">
      <w:pPr>
        <w:adjustRightInd w:val="0"/>
        <w:snapToGrid w:val="0"/>
        <w:spacing w:line="640" w:lineRule="exact"/>
        <w:ind w:firstLine="560" w:firstLineChars="200"/>
        <w:rPr>
          <w:rFonts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2010年，“优质高效无公害西瓜栽培技术推广”获陕西省农业技术推广一等奖。2019年“优质多抗西瓜种质创制与新品种选育及应用”获农业农村部神农中华农业科技二等奖。</w:t>
      </w:r>
    </w:p>
    <w:p w14:paraId="15D43F8E">
      <w:pPr>
        <w:snapToGrid w:val="0"/>
        <w:spacing w:line="640" w:lineRule="exact"/>
        <w:ind w:firstLine="640" w:firstLineChars="200"/>
        <w:rPr>
          <w:rFonts w:ascii="仿宋_GB2312" w:hAnsi="Times New Roman" w:eastAsia="仿宋_GB2312"/>
          <w:color w:val="000000" w:themeColor="text1"/>
          <w:sz w:val="28"/>
          <w:szCs w:val="28"/>
          <w14:textFill>
            <w14:solidFill>
              <w14:schemeClr w14:val="tx1"/>
            </w14:solidFill>
          </w14:textFill>
        </w:rPr>
      </w:pPr>
      <w:r>
        <w:rPr>
          <w:rFonts w:ascii="Times New Roman" w:hAnsi="Times New Roman" w:eastAsia="黑体"/>
          <w:color w:val="000000" w:themeColor="text1"/>
          <w:sz w:val="32"/>
          <w:szCs w:val="32"/>
          <w14:textFill>
            <w14:solidFill>
              <w14:schemeClr w14:val="tx1"/>
            </w14:solidFill>
          </w14:textFill>
        </w:rPr>
        <w:t>二、技术要点</w:t>
      </w:r>
      <w:r>
        <w:rPr>
          <w:rFonts w:hint="eastAsia" w:ascii="仿宋_GB2312" w:hAnsi="Times New Roman" w:eastAsia="仿宋_GB2312"/>
          <w:color w:val="000000" w:themeColor="text1"/>
          <w:sz w:val="28"/>
          <w:szCs w:val="28"/>
          <w14:textFill>
            <w14:solidFill>
              <w14:schemeClr w14:val="tx1"/>
            </w14:solidFill>
          </w14:textFill>
        </w:rPr>
        <w:t>（核心技术及其配套技术主要内容，3000字以内）</w:t>
      </w:r>
    </w:p>
    <w:p w14:paraId="019E030B">
      <w:pPr>
        <w:snapToGrid w:val="0"/>
        <w:spacing w:line="600" w:lineRule="exact"/>
        <w:ind w:firstLine="560" w:firstLineChars="200"/>
        <w:rPr>
          <w:rFonts w:ascii="仿宋" w:hAnsi="仿宋" w:eastAsia="仿宋" w:cs="楷体_GB2312"/>
          <w:bCs/>
          <w:color w:val="000000" w:themeColor="text1"/>
          <w:sz w:val="28"/>
          <w:szCs w:val="28"/>
          <w14:textFill>
            <w14:solidFill>
              <w14:schemeClr w14:val="tx1"/>
            </w14:solidFill>
          </w14:textFill>
        </w:rPr>
      </w:pPr>
      <w:r>
        <w:rPr>
          <w:rFonts w:hint="eastAsia" w:ascii="仿宋" w:hAnsi="仿宋" w:eastAsia="仿宋" w:cs="楷体_GB2312"/>
          <w:bCs/>
          <w:color w:val="000000" w:themeColor="text1"/>
          <w:sz w:val="28"/>
          <w:szCs w:val="28"/>
          <w14:textFill>
            <w14:solidFill>
              <w14:schemeClr w14:val="tx1"/>
            </w14:solidFill>
          </w14:textFill>
        </w:rPr>
        <w:t>西甜瓜克服连作障碍关键技术操作内容包括六部分，分别是品种选择、培育壮苗、调节土壤微生物、平衡土壤化学物质、药剂防治和其他措施。核心技术要点叙述如下：</w:t>
      </w:r>
    </w:p>
    <w:p w14:paraId="51CB6FA9">
      <w:pPr>
        <w:snapToGrid w:val="0"/>
        <w:spacing w:line="600" w:lineRule="exact"/>
        <w:ind w:firstLine="643" w:firstLineChars="200"/>
        <w:rPr>
          <w:rFonts w:ascii="楷体_GB2312" w:hAnsi="楷体_GB2312" w:eastAsia="楷体_GB2312" w:cs="楷体_GB2312"/>
          <w:b/>
          <w:bCs/>
          <w:color w:val="000000" w:themeColor="text1"/>
          <w:sz w:val="32"/>
          <w:szCs w:val="32"/>
          <w14:textFill>
            <w14:solidFill>
              <w14:schemeClr w14:val="tx1"/>
            </w14:solidFill>
          </w14:textFill>
        </w:rPr>
      </w:pPr>
      <w:r>
        <w:rPr>
          <w:rFonts w:hint="eastAsia" w:ascii="楷体_GB2312" w:hAnsi="楷体_GB2312" w:eastAsia="楷体_GB2312" w:cs="楷体_GB2312"/>
          <w:b/>
          <w:bCs/>
          <w:color w:val="000000" w:themeColor="text1"/>
          <w:sz w:val="32"/>
          <w:szCs w:val="32"/>
          <w14:textFill>
            <w14:solidFill>
              <w14:schemeClr w14:val="tx1"/>
            </w14:solidFill>
          </w14:textFill>
        </w:rPr>
        <w:t>（一）品种选择</w:t>
      </w:r>
    </w:p>
    <w:p w14:paraId="0487864F">
      <w:pPr>
        <w:snapToGrid w:val="0"/>
        <w:spacing w:line="600" w:lineRule="exact"/>
        <w:ind w:firstLine="560" w:firstLineChars="200"/>
        <w:rPr>
          <w:rFonts w:ascii="仿宋" w:hAnsi="仿宋" w:eastAsia="仿宋" w:cs="楷体_GB2312"/>
          <w:bCs/>
          <w:color w:val="000000" w:themeColor="text1"/>
          <w:sz w:val="28"/>
          <w:szCs w:val="28"/>
          <w14:textFill>
            <w14:solidFill>
              <w14:schemeClr w14:val="tx1"/>
            </w14:solidFill>
          </w14:textFill>
        </w:rPr>
      </w:pPr>
      <w:r>
        <w:rPr>
          <w:rFonts w:hint="eastAsia" w:ascii="仿宋" w:hAnsi="仿宋" w:eastAsia="仿宋" w:cs="楷体_GB2312"/>
          <w:bCs/>
          <w:color w:val="000000" w:themeColor="text1"/>
          <w:sz w:val="28"/>
          <w:szCs w:val="28"/>
          <w14:textFill>
            <w14:solidFill>
              <w14:schemeClr w14:val="tx1"/>
            </w14:solidFill>
          </w14:textFill>
        </w:rPr>
        <w:t>首先根据不同生态区域，选用适合当地栽培的抗病西甜瓜品种。西瓜抗病品种有玲珑王、农科大6号、甜王、金城5号、美都等；甜瓜抗病品种有早蜜1号、农大甜5号、西蜜4号、博洋9号、黄妃蜜6号等。</w:t>
      </w:r>
    </w:p>
    <w:p w14:paraId="5E3824FE">
      <w:pPr>
        <w:snapToGrid w:val="0"/>
        <w:spacing w:line="600" w:lineRule="exact"/>
        <w:ind w:firstLine="643" w:firstLineChars="200"/>
        <w:rPr>
          <w:rFonts w:ascii="楷体_GB2312" w:hAnsi="楷体_GB2312" w:eastAsia="楷体_GB2312" w:cs="楷体_GB2312"/>
          <w:b/>
          <w:bCs/>
          <w:color w:val="000000" w:themeColor="text1"/>
          <w:sz w:val="32"/>
          <w:szCs w:val="32"/>
          <w14:textFill>
            <w14:solidFill>
              <w14:schemeClr w14:val="tx1"/>
            </w14:solidFill>
          </w14:textFill>
        </w:rPr>
      </w:pPr>
      <w:r>
        <w:rPr>
          <w:rFonts w:hint="eastAsia" w:ascii="楷体_GB2312" w:hAnsi="楷体_GB2312" w:eastAsia="楷体_GB2312" w:cs="楷体_GB2312"/>
          <w:b/>
          <w:bCs/>
          <w:color w:val="000000" w:themeColor="text1"/>
          <w:sz w:val="32"/>
          <w:szCs w:val="32"/>
          <w14:textFill>
            <w14:solidFill>
              <w14:schemeClr w14:val="tx1"/>
            </w14:solidFill>
          </w14:textFill>
        </w:rPr>
        <w:t>（二）培育壮苗</w:t>
      </w:r>
    </w:p>
    <w:p w14:paraId="2AF00921">
      <w:pPr>
        <w:snapToGrid w:val="0"/>
        <w:spacing w:line="600" w:lineRule="exact"/>
        <w:ind w:firstLine="562" w:firstLineChars="200"/>
        <w:rPr>
          <w:rFonts w:ascii="仿宋" w:hAnsi="仿宋" w:eastAsia="仿宋" w:cs="楷体_GB2312"/>
          <w:b/>
          <w:bCs/>
          <w:color w:val="000000" w:themeColor="text1"/>
          <w:sz w:val="28"/>
          <w:szCs w:val="28"/>
          <w14:textFill>
            <w14:solidFill>
              <w14:schemeClr w14:val="tx1"/>
            </w14:solidFill>
          </w14:textFill>
        </w:rPr>
      </w:pPr>
      <w:r>
        <w:rPr>
          <w:rFonts w:hint="eastAsia" w:ascii="仿宋" w:hAnsi="仿宋" w:eastAsia="仿宋" w:cs="楷体_GB2312"/>
          <w:b/>
          <w:bCs/>
          <w:color w:val="000000" w:themeColor="text1"/>
          <w:sz w:val="28"/>
          <w:szCs w:val="28"/>
          <w14:textFill>
            <w14:solidFill>
              <w14:schemeClr w14:val="tx1"/>
            </w14:solidFill>
          </w14:textFill>
        </w:rPr>
        <w:t>1.催芽</w:t>
      </w:r>
    </w:p>
    <w:p w14:paraId="1D4EB6ED">
      <w:pPr>
        <w:snapToGrid w:val="0"/>
        <w:spacing w:line="600" w:lineRule="exact"/>
        <w:ind w:firstLine="560" w:firstLineChars="200"/>
        <w:rPr>
          <w:rFonts w:ascii="仿宋" w:hAnsi="仿宋" w:eastAsia="仿宋" w:cs="楷体_GB2312"/>
          <w:bCs/>
          <w:color w:val="000000" w:themeColor="text1"/>
          <w:sz w:val="28"/>
          <w:szCs w:val="28"/>
          <w14:textFill>
            <w14:solidFill>
              <w14:schemeClr w14:val="tx1"/>
            </w14:solidFill>
          </w14:textFill>
        </w:rPr>
      </w:pPr>
      <w:r>
        <w:rPr>
          <w:rFonts w:hint="eastAsia" w:ascii="仿宋" w:hAnsi="仿宋" w:eastAsia="仿宋" w:cs="楷体_GB2312"/>
          <w:bCs/>
          <w:color w:val="000000" w:themeColor="text1"/>
          <w:sz w:val="28"/>
          <w:szCs w:val="28"/>
          <w14:textFill>
            <w14:solidFill>
              <w14:schemeClr w14:val="tx1"/>
            </w14:solidFill>
          </w14:textFill>
        </w:rPr>
        <w:t>首先，强光晒种。选择晴好无风天，将种子摊在席或纸等物体上，厚度不超过1 cm，在阳光下暴晒，每隔2 h翻动l次。其次，药剂消毒。用500倍10%抗菌剂401溶液浸种30 min。捞出用清水冲洗5 min，转入清水浸种4～6h，催芽。</w:t>
      </w:r>
    </w:p>
    <w:p w14:paraId="6FCC61EF">
      <w:pPr>
        <w:snapToGrid w:val="0"/>
        <w:spacing w:line="600" w:lineRule="exact"/>
        <w:ind w:firstLine="562" w:firstLineChars="200"/>
        <w:rPr>
          <w:rFonts w:ascii="仿宋" w:hAnsi="仿宋" w:eastAsia="仿宋" w:cs="楷体_GB2312"/>
          <w:b/>
          <w:bCs/>
          <w:color w:val="000000" w:themeColor="text1"/>
          <w:sz w:val="28"/>
          <w:szCs w:val="28"/>
          <w14:textFill>
            <w14:solidFill>
              <w14:schemeClr w14:val="tx1"/>
            </w14:solidFill>
          </w14:textFill>
        </w:rPr>
      </w:pPr>
      <w:r>
        <w:rPr>
          <w:rFonts w:hint="eastAsia" w:ascii="仿宋" w:hAnsi="仿宋" w:eastAsia="仿宋" w:cs="楷体_GB2312"/>
          <w:b/>
          <w:bCs/>
          <w:color w:val="000000" w:themeColor="text1"/>
          <w:sz w:val="28"/>
          <w:szCs w:val="28"/>
          <w14:textFill>
            <w14:solidFill>
              <w14:schemeClr w14:val="tx1"/>
            </w14:solidFill>
          </w14:textFill>
        </w:rPr>
        <w:t>2.育苗</w:t>
      </w:r>
    </w:p>
    <w:p w14:paraId="0ED604BD">
      <w:pPr>
        <w:snapToGrid w:val="0"/>
        <w:spacing w:line="600" w:lineRule="exact"/>
        <w:ind w:firstLine="560" w:firstLineChars="200"/>
        <w:rPr>
          <w:rFonts w:ascii="仿宋" w:hAnsi="仿宋" w:eastAsia="仿宋" w:cs="楷体_GB2312"/>
          <w:bCs/>
          <w:color w:val="000000" w:themeColor="text1"/>
          <w:sz w:val="28"/>
          <w:szCs w:val="28"/>
          <w14:textFill>
            <w14:solidFill>
              <w14:schemeClr w14:val="tx1"/>
            </w14:solidFill>
          </w14:textFill>
        </w:rPr>
      </w:pPr>
      <w:r>
        <w:rPr>
          <w:rFonts w:hint="eastAsia" w:ascii="仿宋" w:hAnsi="仿宋" w:eastAsia="仿宋" w:cs="楷体_GB2312"/>
          <w:bCs/>
          <w:color w:val="000000" w:themeColor="text1"/>
          <w:sz w:val="28"/>
          <w:szCs w:val="28"/>
          <w14:textFill>
            <w14:solidFill>
              <w14:schemeClr w14:val="tx1"/>
            </w14:solidFill>
          </w14:textFill>
        </w:rPr>
        <w:t>在25～32 ℃的常温下催芽，约36 h即可出芽。苗床可用50%的多菌灵800倍液喷雾处理。播种后及时覆盖地膜，75%出土后及时揭开覆盖物，控制温度白天在25～32 ℃，夜晚14～17 ℃，不低于12 ℃。确保幼苗无病、健壮。</w:t>
      </w:r>
    </w:p>
    <w:p w14:paraId="43808454">
      <w:pPr>
        <w:spacing w:line="560" w:lineRule="exact"/>
        <w:ind w:firstLine="643" w:firstLineChars="200"/>
        <w:rPr>
          <w:rFonts w:ascii="Times New Roman" w:hAnsi="Times New Roman" w:eastAsia="楷体_GB2312" w:cs="Times New Roman"/>
          <w:b/>
          <w:snapToGrid w:val="0"/>
          <w:color w:val="000000"/>
          <w:spacing w:val="1"/>
          <w:kern w:val="0"/>
          <w:sz w:val="32"/>
          <w:szCs w:val="32"/>
        </w:rPr>
      </w:pPr>
      <w:r>
        <w:rPr>
          <w:rFonts w:hint="eastAsia" w:ascii="楷体_GB2312" w:hAnsi="楷体_GB2312" w:eastAsia="楷体_GB2312" w:cs="楷体_GB2312"/>
          <w:b/>
          <w:bCs/>
          <w:color w:val="000000" w:themeColor="text1"/>
          <w:sz w:val="32"/>
          <w:szCs w:val="32"/>
          <w14:textFill>
            <w14:solidFill>
              <w14:schemeClr w14:val="tx1"/>
            </w14:solidFill>
          </w14:textFill>
        </w:rPr>
        <w:t>（三）</w:t>
      </w:r>
      <w:r>
        <w:rPr>
          <w:rFonts w:ascii="Times New Roman" w:hAnsi="Times New Roman" w:eastAsia="楷体_GB2312" w:cs="Times New Roman"/>
          <w:b/>
          <w:snapToGrid w:val="0"/>
          <w:color w:val="000000"/>
          <w:spacing w:val="1"/>
          <w:kern w:val="0"/>
          <w:sz w:val="32"/>
          <w:szCs w:val="32"/>
        </w:rPr>
        <w:t>调节土壤微生物</w:t>
      </w:r>
    </w:p>
    <w:p w14:paraId="346150CD">
      <w:pPr>
        <w:widowControl/>
        <w:kinsoku w:val="0"/>
        <w:autoSpaceDE w:val="0"/>
        <w:autoSpaceDN w:val="0"/>
        <w:adjustRightInd w:val="0"/>
        <w:snapToGrid w:val="0"/>
        <w:spacing w:line="560" w:lineRule="exact"/>
        <w:ind w:firstLine="570" w:firstLineChars="200"/>
        <w:textAlignment w:val="baseline"/>
        <w:rPr>
          <w:rFonts w:ascii="仿宋" w:hAnsi="仿宋" w:eastAsia="仿宋" w:cs="Times New Roman"/>
          <w:b/>
          <w:snapToGrid w:val="0"/>
          <w:color w:val="000000"/>
          <w:spacing w:val="2"/>
          <w:kern w:val="0"/>
          <w:sz w:val="28"/>
          <w:szCs w:val="28"/>
        </w:rPr>
      </w:pPr>
      <w:r>
        <w:rPr>
          <w:rFonts w:ascii="仿宋" w:hAnsi="仿宋" w:eastAsia="仿宋" w:cs="Times New Roman"/>
          <w:b/>
          <w:snapToGrid w:val="0"/>
          <w:color w:val="000000"/>
          <w:spacing w:val="2"/>
          <w:kern w:val="0"/>
          <w:sz w:val="28"/>
          <w:szCs w:val="28"/>
        </w:rPr>
        <w:t>1.高温闷棚</w:t>
      </w:r>
    </w:p>
    <w:p w14:paraId="14658A7D">
      <w:pPr>
        <w:widowControl/>
        <w:kinsoku w:val="0"/>
        <w:autoSpaceDE w:val="0"/>
        <w:autoSpaceDN w:val="0"/>
        <w:adjustRightInd w:val="0"/>
        <w:snapToGrid w:val="0"/>
        <w:spacing w:line="560" w:lineRule="exact"/>
        <w:ind w:firstLine="568" w:firstLineChars="200"/>
        <w:textAlignment w:val="baseline"/>
        <w:rPr>
          <w:rFonts w:ascii="仿宋" w:hAnsi="仿宋" w:eastAsia="仿宋" w:cs="Times New Roman"/>
          <w:snapToGrid w:val="0"/>
          <w:color w:val="000000"/>
          <w:spacing w:val="2"/>
          <w:kern w:val="0"/>
          <w:sz w:val="28"/>
          <w:szCs w:val="28"/>
        </w:rPr>
      </w:pPr>
      <w:r>
        <w:rPr>
          <w:rFonts w:ascii="仿宋" w:hAnsi="仿宋" w:eastAsia="仿宋" w:cs="Times New Roman"/>
          <w:snapToGrid w:val="0"/>
          <w:color w:val="000000"/>
          <w:spacing w:val="2"/>
          <w:kern w:val="0"/>
          <w:sz w:val="28"/>
          <w:szCs w:val="28"/>
        </w:rPr>
        <w:t>在西甜瓜收获后的高温季节</w:t>
      </w:r>
      <w:r>
        <w:rPr>
          <w:rFonts w:hint="eastAsia" w:ascii="仿宋" w:hAnsi="仿宋" w:eastAsia="仿宋" w:cs="Times New Roman"/>
          <w:snapToGrid w:val="0"/>
          <w:color w:val="000000"/>
          <w:spacing w:val="2"/>
          <w:kern w:val="0"/>
          <w:sz w:val="28"/>
          <w:szCs w:val="28"/>
        </w:rPr>
        <w:t>（7</w:t>
      </w:r>
      <w:r>
        <w:rPr>
          <w:rFonts w:ascii="仿宋" w:hAnsi="仿宋" w:eastAsia="仿宋" w:cs="Times New Roman"/>
          <w:snapToGrid w:val="0"/>
          <w:color w:val="000000"/>
          <w:spacing w:val="2"/>
          <w:kern w:val="0"/>
          <w:sz w:val="28"/>
          <w:szCs w:val="28"/>
        </w:rPr>
        <w:t>～8</w:t>
      </w:r>
      <w:r>
        <w:rPr>
          <w:rFonts w:hint="eastAsia" w:ascii="仿宋" w:hAnsi="仿宋" w:eastAsia="仿宋" w:cs="Times New Roman"/>
          <w:snapToGrid w:val="0"/>
          <w:color w:val="000000"/>
          <w:spacing w:val="2"/>
          <w:kern w:val="0"/>
          <w:sz w:val="28"/>
          <w:szCs w:val="28"/>
        </w:rPr>
        <w:t>月份）</w:t>
      </w:r>
      <w:r>
        <w:rPr>
          <w:rFonts w:ascii="仿宋" w:hAnsi="仿宋" w:eastAsia="仿宋" w:cs="Times New Roman"/>
          <w:snapToGrid w:val="0"/>
          <w:color w:val="000000"/>
          <w:spacing w:val="2"/>
          <w:kern w:val="0"/>
          <w:sz w:val="28"/>
          <w:szCs w:val="28"/>
        </w:rPr>
        <w:t>，结合彻底清洁田园，灌足水分，然后将地面覆盖薄膜，棚膜</w:t>
      </w:r>
      <w:r>
        <w:rPr>
          <w:rFonts w:hint="eastAsia" w:ascii="仿宋" w:hAnsi="仿宋" w:eastAsia="仿宋" w:cs="Times New Roman"/>
          <w:snapToGrid w:val="0"/>
          <w:color w:val="000000"/>
          <w:spacing w:val="2"/>
          <w:kern w:val="0"/>
          <w:sz w:val="28"/>
          <w:szCs w:val="28"/>
        </w:rPr>
        <w:t>关闭通风口</w:t>
      </w:r>
      <w:r>
        <w:rPr>
          <w:rFonts w:ascii="仿宋" w:hAnsi="仿宋" w:eastAsia="仿宋" w:cs="Times New Roman"/>
          <w:snapToGrid w:val="0"/>
          <w:color w:val="000000"/>
          <w:spacing w:val="2"/>
          <w:kern w:val="0"/>
          <w:sz w:val="28"/>
          <w:szCs w:val="28"/>
        </w:rPr>
        <w:t>25～30</w:t>
      </w:r>
      <w:r>
        <w:rPr>
          <w:rFonts w:hint="eastAsia" w:ascii="仿宋" w:hAnsi="仿宋" w:eastAsia="仿宋" w:cs="Times New Roman"/>
          <w:snapToGrid w:val="0"/>
          <w:color w:val="000000"/>
          <w:spacing w:val="2"/>
          <w:kern w:val="0"/>
          <w:sz w:val="28"/>
          <w:szCs w:val="28"/>
        </w:rPr>
        <w:t>天</w:t>
      </w:r>
      <w:r>
        <w:rPr>
          <w:rFonts w:ascii="仿宋" w:hAnsi="仿宋" w:eastAsia="仿宋" w:cs="Times New Roman"/>
          <w:snapToGrid w:val="0"/>
          <w:color w:val="000000"/>
          <w:spacing w:val="2"/>
          <w:kern w:val="0"/>
          <w:sz w:val="28"/>
          <w:szCs w:val="28"/>
        </w:rPr>
        <w:t>，利用</w:t>
      </w:r>
      <w:r>
        <w:rPr>
          <w:rFonts w:hint="eastAsia" w:ascii="仿宋" w:hAnsi="仿宋" w:eastAsia="仿宋" w:cs="Times New Roman"/>
          <w:snapToGrid w:val="0"/>
          <w:color w:val="000000"/>
          <w:spacing w:val="2"/>
          <w:kern w:val="0"/>
          <w:sz w:val="28"/>
          <w:szCs w:val="28"/>
        </w:rPr>
        <w:t>太阳</w:t>
      </w:r>
      <w:r>
        <w:rPr>
          <w:rFonts w:ascii="仿宋" w:hAnsi="仿宋" w:eastAsia="仿宋" w:cs="Times New Roman"/>
          <w:snapToGrid w:val="0"/>
          <w:color w:val="000000"/>
          <w:spacing w:val="2"/>
          <w:kern w:val="0"/>
          <w:sz w:val="28"/>
          <w:szCs w:val="28"/>
        </w:rPr>
        <w:t>光曝晒加热土壤，杀灭病菌或可抑制镰刀菌萌发。</w:t>
      </w:r>
    </w:p>
    <w:p w14:paraId="167E91DD">
      <w:pPr>
        <w:widowControl/>
        <w:kinsoku w:val="0"/>
        <w:autoSpaceDE w:val="0"/>
        <w:autoSpaceDN w:val="0"/>
        <w:adjustRightInd w:val="0"/>
        <w:snapToGrid w:val="0"/>
        <w:jc w:val="center"/>
        <w:textAlignment w:val="baseline"/>
        <w:rPr>
          <w:rFonts w:ascii="Arial" w:hAnsi="Arial" w:eastAsia="宋体" w:cs="Arial"/>
          <w:snapToGrid w:val="0"/>
          <w:color w:val="000000"/>
          <w:kern w:val="0"/>
          <w:szCs w:val="21"/>
        </w:rPr>
      </w:pPr>
      <w:r>
        <w:rPr>
          <w:rFonts w:ascii="Times New Roman" w:hAnsi="Times New Roman" w:eastAsia="仿宋" w:cs="Times New Roman"/>
          <w:snapToGrid w:val="0"/>
          <w:color w:val="000000"/>
          <w:spacing w:val="2"/>
          <w:kern w:val="0"/>
          <w:sz w:val="32"/>
          <w:szCs w:val="32"/>
        </w:rPr>
        <w:drawing>
          <wp:inline distT="0" distB="0" distL="0" distR="0">
            <wp:extent cx="5219065" cy="2885440"/>
            <wp:effectExtent l="0" t="0" r="635" b="0"/>
            <wp:docPr id="6" name="图片 1198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9811" descr="2"/>
                    <pic:cNvPicPr>
                      <a:picLocks noChangeAspect="1" noChangeArrowheads="1"/>
                    </pic:cNvPicPr>
                  </pic:nvPicPr>
                  <pic:blipFill>
                    <a:blip r:embed="rId4" cstate="print">
                      <a:extLst>
                        <a:ext uri="{28A0092B-C50C-407E-A947-70E740481C1C}">
                          <a14:useLocalDpi xmlns:a14="http://schemas.microsoft.com/office/drawing/2010/main" val="0"/>
                        </a:ext>
                      </a:extLst>
                    </a:blip>
                    <a:srcRect b="26246"/>
                    <a:stretch>
                      <a:fillRect/>
                    </a:stretch>
                  </pic:blipFill>
                  <pic:spPr>
                    <a:xfrm>
                      <a:off x="0" y="0"/>
                      <a:ext cx="5220000" cy="2885690"/>
                    </a:xfrm>
                    <a:prstGeom prst="rect">
                      <a:avLst/>
                    </a:prstGeom>
                    <a:noFill/>
                    <a:ln>
                      <a:noFill/>
                    </a:ln>
                  </pic:spPr>
                </pic:pic>
              </a:graphicData>
            </a:graphic>
          </wp:inline>
        </w:drawing>
      </w:r>
    </w:p>
    <w:p w14:paraId="10AE8475">
      <w:pPr>
        <w:widowControl/>
        <w:kinsoku w:val="0"/>
        <w:autoSpaceDE w:val="0"/>
        <w:autoSpaceDN w:val="0"/>
        <w:adjustRightInd w:val="0"/>
        <w:snapToGrid w:val="0"/>
        <w:jc w:val="center"/>
        <w:textAlignment w:val="baseline"/>
        <w:rPr>
          <w:rFonts w:ascii="仿宋" w:hAnsi="仿宋" w:eastAsia="仿宋" w:cs="Times New Roman"/>
          <w:snapToGrid w:val="0"/>
          <w:color w:val="000000"/>
          <w:spacing w:val="2"/>
          <w:kern w:val="0"/>
          <w:sz w:val="28"/>
          <w:szCs w:val="28"/>
        </w:rPr>
      </w:pPr>
      <w:r>
        <w:rPr>
          <w:rFonts w:hint="eastAsia" w:ascii="仿宋" w:hAnsi="仿宋" w:eastAsia="仿宋" w:cs="Times New Roman"/>
          <w:snapToGrid w:val="0"/>
          <w:color w:val="000000"/>
          <w:spacing w:val="2"/>
          <w:kern w:val="0"/>
          <w:sz w:val="28"/>
          <w:szCs w:val="28"/>
        </w:rPr>
        <w:t>灌水高温闷棚示意图</w:t>
      </w:r>
    </w:p>
    <w:p w14:paraId="121C46B0">
      <w:pPr>
        <w:kinsoku w:val="0"/>
        <w:autoSpaceDE w:val="0"/>
        <w:autoSpaceDN w:val="0"/>
        <w:adjustRightInd w:val="0"/>
        <w:snapToGrid w:val="0"/>
        <w:spacing w:line="560" w:lineRule="exact"/>
        <w:ind w:firstLine="570" w:firstLineChars="200"/>
        <w:textAlignment w:val="baseline"/>
        <w:rPr>
          <w:rFonts w:ascii="仿宋" w:hAnsi="仿宋" w:eastAsia="仿宋" w:cs="Times New Roman"/>
          <w:b/>
          <w:snapToGrid w:val="0"/>
          <w:color w:val="000000"/>
          <w:spacing w:val="2"/>
          <w:kern w:val="0"/>
          <w:sz w:val="28"/>
          <w:szCs w:val="28"/>
        </w:rPr>
      </w:pPr>
      <w:r>
        <w:rPr>
          <w:rFonts w:ascii="仿宋" w:hAnsi="仿宋" w:eastAsia="仿宋" w:cs="Times New Roman"/>
          <w:b/>
          <w:snapToGrid w:val="0"/>
          <w:color w:val="000000"/>
          <w:spacing w:val="2"/>
          <w:kern w:val="0"/>
          <w:sz w:val="28"/>
          <w:szCs w:val="28"/>
        </w:rPr>
        <w:t>2.轮作、填闲非寄主作物</w:t>
      </w:r>
    </w:p>
    <w:p w14:paraId="61D07AAB">
      <w:pPr>
        <w:kinsoku w:val="0"/>
        <w:autoSpaceDE w:val="0"/>
        <w:autoSpaceDN w:val="0"/>
        <w:adjustRightInd w:val="0"/>
        <w:snapToGrid w:val="0"/>
        <w:spacing w:line="560" w:lineRule="exact"/>
        <w:ind w:firstLine="568" w:firstLineChars="200"/>
        <w:textAlignment w:val="baseline"/>
        <w:rPr>
          <w:rFonts w:ascii="Times New Roman" w:hAnsi="Times New Roman" w:eastAsia="仿宋" w:cs="Times New Roman"/>
          <w:snapToGrid w:val="0"/>
          <w:color w:val="000000"/>
          <w:spacing w:val="2"/>
          <w:kern w:val="0"/>
          <w:sz w:val="28"/>
          <w:szCs w:val="28"/>
        </w:rPr>
      </w:pPr>
      <w:r>
        <w:rPr>
          <w:rFonts w:ascii="Times New Roman" w:hAnsi="Times New Roman" w:eastAsia="仿宋" w:cs="Times New Roman"/>
          <w:snapToGrid w:val="0"/>
          <w:color w:val="000000"/>
          <w:spacing w:val="2"/>
          <w:kern w:val="0"/>
          <w:sz w:val="28"/>
          <w:szCs w:val="28"/>
        </w:rPr>
        <w:t>通过与病原菌非寄主植物的轮作、填闲。西瓜甜瓜属深根性作物，可与白菜类、绿叶菜类、葱蒜类等浅根性作物进行轮作、填闲。</w:t>
      </w:r>
    </w:p>
    <w:p w14:paraId="15FEDCD2">
      <w:pPr>
        <w:widowControl/>
        <w:kinsoku w:val="0"/>
        <w:autoSpaceDE w:val="0"/>
        <w:autoSpaceDN w:val="0"/>
        <w:adjustRightInd w:val="0"/>
        <w:snapToGrid w:val="0"/>
        <w:jc w:val="center"/>
        <w:textAlignment w:val="baseline"/>
        <w:rPr>
          <w:rFonts w:ascii="Arial" w:hAnsi="Arial" w:eastAsia="Arial" w:cs="Arial"/>
          <w:snapToGrid w:val="0"/>
          <w:color w:val="000000"/>
          <w:kern w:val="0"/>
          <w:szCs w:val="21"/>
        </w:rPr>
      </w:pPr>
      <w:r>
        <w:rPr>
          <w:rFonts w:ascii="Arial" w:hAnsi="Arial" w:eastAsia="Arial" w:cs="Arial"/>
          <w:snapToGrid w:val="0"/>
          <w:color w:val="000000"/>
          <w:kern w:val="0"/>
          <w:szCs w:val="21"/>
        </w:rPr>
        <w:drawing>
          <wp:inline distT="0" distB="0" distL="0" distR="0">
            <wp:extent cx="5219700" cy="2566670"/>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20000" cy="2567078"/>
                    </a:xfrm>
                    <a:prstGeom prst="rect">
                      <a:avLst/>
                    </a:prstGeom>
                    <a:noFill/>
                    <a:ln>
                      <a:noFill/>
                    </a:ln>
                  </pic:spPr>
                </pic:pic>
              </a:graphicData>
            </a:graphic>
          </wp:inline>
        </w:drawing>
      </w:r>
    </w:p>
    <w:p w14:paraId="6D6A30F0">
      <w:pPr>
        <w:widowControl/>
        <w:kinsoku w:val="0"/>
        <w:autoSpaceDE w:val="0"/>
        <w:autoSpaceDN w:val="0"/>
        <w:adjustRightInd w:val="0"/>
        <w:snapToGrid w:val="0"/>
        <w:jc w:val="center"/>
        <w:textAlignment w:val="baseline"/>
        <w:rPr>
          <w:rFonts w:ascii="仿宋" w:hAnsi="仿宋" w:eastAsia="仿宋" w:cs="Times New Roman"/>
          <w:snapToGrid w:val="0"/>
          <w:color w:val="000000"/>
          <w:spacing w:val="2"/>
          <w:kern w:val="0"/>
          <w:sz w:val="28"/>
          <w:szCs w:val="28"/>
        </w:rPr>
      </w:pPr>
      <w:r>
        <w:rPr>
          <w:rFonts w:hint="eastAsia" w:ascii="仿宋" w:hAnsi="仿宋" w:eastAsia="仿宋" w:cs="Times New Roman"/>
          <w:snapToGrid w:val="0"/>
          <w:color w:val="000000"/>
          <w:spacing w:val="2"/>
          <w:kern w:val="0"/>
          <w:sz w:val="28"/>
          <w:szCs w:val="28"/>
        </w:rPr>
        <w:t>绿叶菜类填闲示意图</w:t>
      </w:r>
    </w:p>
    <w:p w14:paraId="1DE4606D">
      <w:pPr>
        <w:kinsoku w:val="0"/>
        <w:autoSpaceDE w:val="0"/>
        <w:autoSpaceDN w:val="0"/>
        <w:adjustRightInd w:val="0"/>
        <w:snapToGrid w:val="0"/>
        <w:spacing w:line="560" w:lineRule="exact"/>
        <w:ind w:firstLine="570" w:firstLineChars="200"/>
        <w:textAlignment w:val="baseline"/>
        <w:rPr>
          <w:rFonts w:ascii="仿宋" w:hAnsi="仿宋" w:eastAsia="仿宋" w:cs="Times New Roman"/>
          <w:b/>
          <w:snapToGrid w:val="0"/>
          <w:color w:val="000000"/>
          <w:spacing w:val="2"/>
          <w:kern w:val="0"/>
          <w:sz w:val="28"/>
          <w:szCs w:val="28"/>
        </w:rPr>
      </w:pPr>
      <w:r>
        <w:rPr>
          <w:rFonts w:ascii="仿宋" w:hAnsi="仿宋" w:eastAsia="仿宋" w:cs="Times New Roman"/>
          <w:b/>
          <w:snapToGrid w:val="0"/>
          <w:color w:val="000000"/>
          <w:spacing w:val="2"/>
          <w:kern w:val="0"/>
          <w:sz w:val="28"/>
          <w:szCs w:val="28"/>
        </w:rPr>
        <w:t>3.增施微生物菌肥</w:t>
      </w:r>
    </w:p>
    <w:p w14:paraId="5D53E507">
      <w:pPr>
        <w:kinsoku w:val="0"/>
        <w:autoSpaceDE w:val="0"/>
        <w:autoSpaceDN w:val="0"/>
        <w:adjustRightInd w:val="0"/>
        <w:snapToGrid w:val="0"/>
        <w:spacing w:line="560" w:lineRule="exact"/>
        <w:ind w:firstLine="568" w:firstLineChars="200"/>
        <w:textAlignment w:val="baseline"/>
        <w:rPr>
          <w:rFonts w:ascii="Times New Roman" w:hAnsi="Times New Roman" w:eastAsia="仿宋" w:cs="Times New Roman"/>
          <w:snapToGrid w:val="0"/>
          <w:color w:val="000000"/>
          <w:spacing w:val="2"/>
          <w:kern w:val="0"/>
          <w:sz w:val="28"/>
          <w:szCs w:val="28"/>
        </w:rPr>
      </w:pPr>
      <w:r>
        <w:rPr>
          <w:rFonts w:ascii="Times New Roman" w:hAnsi="Times New Roman" w:eastAsia="仿宋" w:cs="Times New Roman"/>
          <w:snapToGrid w:val="0"/>
          <w:color w:val="000000"/>
          <w:spacing w:val="2"/>
          <w:kern w:val="0"/>
          <w:sz w:val="28"/>
          <w:szCs w:val="28"/>
        </w:rPr>
        <w:t>微生物菌肥是一种缓释、长效、高能的肥料，可</w:t>
      </w:r>
      <w:r>
        <w:rPr>
          <w:rFonts w:hint="eastAsia" w:ascii="Times New Roman" w:hAnsi="Times New Roman" w:eastAsia="仿宋" w:cs="Times New Roman"/>
          <w:snapToGrid w:val="0"/>
          <w:color w:val="000000"/>
          <w:spacing w:val="2"/>
          <w:kern w:val="0"/>
          <w:sz w:val="28"/>
          <w:szCs w:val="28"/>
        </w:rPr>
        <w:t>显著</w:t>
      </w:r>
      <w:r>
        <w:rPr>
          <w:rFonts w:ascii="Times New Roman" w:hAnsi="Times New Roman" w:eastAsia="仿宋" w:cs="Times New Roman"/>
          <w:snapToGrid w:val="0"/>
          <w:color w:val="000000"/>
          <w:spacing w:val="2"/>
          <w:kern w:val="0"/>
          <w:sz w:val="28"/>
          <w:szCs w:val="28"/>
        </w:rPr>
        <w:t>提高土壤中的中微量元素含量，增加土壤有机质，抑制土壤中的真菌数量，从根本上减少农药的使用量。</w:t>
      </w:r>
      <w:r>
        <w:rPr>
          <w:rFonts w:hint="eastAsia" w:ascii="Times New Roman" w:hAnsi="Times New Roman" w:eastAsia="仿宋" w:cs="Times New Roman"/>
          <w:snapToGrid w:val="0"/>
          <w:color w:val="000000"/>
          <w:spacing w:val="2"/>
          <w:kern w:val="0"/>
          <w:sz w:val="28"/>
          <w:szCs w:val="28"/>
        </w:rPr>
        <w:t>常用的生防真菌包括木霉菌、粘帚霉菌、芽孢杆菌、淡紫拟青霉等。</w:t>
      </w:r>
    </w:p>
    <w:p w14:paraId="7686168E">
      <w:pPr>
        <w:widowControl/>
        <w:kinsoku w:val="0"/>
        <w:autoSpaceDE w:val="0"/>
        <w:autoSpaceDN w:val="0"/>
        <w:adjustRightInd w:val="0"/>
        <w:snapToGrid w:val="0"/>
        <w:spacing w:line="560" w:lineRule="exact"/>
        <w:ind w:firstLine="570" w:firstLineChars="200"/>
        <w:textAlignment w:val="baseline"/>
        <w:rPr>
          <w:rFonts w:ascii="仿宋" w:hAnsi="仿宋" w:eastAsia="仿宋" w:cs="Times New Roman"/>
          <w:b/>
          <w:snapToGrid w:val="0"/>
          <w:color w:val="000000"/>
          <w:spacing w:val="2"/>
          <w:kern w:val="0"/>
          <w:sz w:val="28"/>
          <w:szCs w:val="28"/>
        </w:rPr>
      </w:pPr>
      <w:r>
        <w:rPr>
          <w:rFonts w:ascii="仿宋" w:hAnsi="仿宋" w:eastAsia="仿宋" w:cs="Times New Roman"/>
          <w:b/>
          <w:snapToGrid w:val="0"/>
          <w:color w:val="000000"/>
          <w:spacing w:val="2"/>
          <w:kern w:val="0"/>
          <w:sz w:val="28"/>
          <w:szCs w:val="28"/>
        </w:rPr>
        <w:t>4.根区土壤中接种生防菌制剂</w:t>
      </w:r>
    </w:p>
    <w:p w14:paraId="111C3DB3">
      <w:pPr>
        <w:widowControl/>
        <w:kinsoku w:val="0"/>
        <w:autoSpaceDE w:val="0"/>
        <w:autoSpaceDN w:val="0"/>
        <w:adjustRightInd w:val="0"/>
        <w:snapToGrid w:val="0"/>
        <w:spacing w:line="560" w:lineRule="exact"/>
        <w:ind w:firstLine="568" w:firstLineChars="200"/>
        <w:textAlignment w:val="baseline"/>
        <w:rPr>
          <w:rFonts w:ascii="Times New Roman" w:hAnsi="Times New Roman" w:eastAsia="仿宋" w:cs="Times New Roman"/>
          <w:snapToGrid w:val="0"/>
          <w:color w:val="000000"/>
          <w:spacing w:val="2"/>
          <w:kern w:val="0"/>
          <w:sz w:val="28"/>
          <w:szCs w:val="28"/>
        </w:rPr>
      </w:pPr>
      <w:r>
        <w:rPr>
          <w:rFonts w:ascii="Times New Roman" w:hAnsi="Times New Roman" w:eastAsia="仿宋" w:cs="Times New Roman"/>
          <w:snapToGrid w:val="0"/>
          <w:color w:val="000000"/>
          <w:spacing w:val="2"/>
          <w:kern w:val="0"/>
          <w:sz w:val="28"/>
          <w:szCs w:val="28"/>
        </w:rPr>
        <w:t>菌剂拌土，在瓜苗侧边用小棍垂直打洞，将菌剂灌入，浇水。这可使发病根系在3周左右恢复生长。</w:t>
      </w:r>
    </w:p>
    <w:p w14:paraId="27C48A99">
      <w:pPr>
        <w:snapToGrid w:val="0"/>
        <w:spacing w:line="600" w:lineRule="exact"/>
        <w:ind w:firstLine="647" w:firstLineChars="200"/>
        <w:rPr>
          <w:rFonts w:ascii="Times New Roman" w:hAnsi="Times New Roman" w:eastAsia="楷体_GB2312" w:cs="Times New Roman"/>
          <w:b/>
          <w:snapToGrid w:val="0"/>
          <w:color w:val="000000"/>
          <w:spacing w:val="1"/>
          <w:kern w:val="0"/>
          <w:sz w:val="32"/>
          <w:szCs w:val="32"/>
        </w:rPr>
      </w:pPr>
      <w:r>
        <w:rPr>
          <w:rFonts w:ascii="Times New Roman" w:hAnsi="Times New Roman" w:eastAsia="楷体_GB2312" w:cs="Times New Roman"/>
          <w:b/>
          <w:snapToGrid w:val="0"/>
          <w:color w:val="000000"/>
          <w:spacing w:val="1"/>
          <w:kern w:val="0"/>
          <w:sz w:val="32"/>
          <w:szCs w:val="32"/>
        </w:rPr>
        <w:t>（四）平衡土壤化学物质</w:t>
      </w:r>
    </w:p>
    <w:p w14:paraId="3A05D1D2">
      <w:pPr>
        <w:widowControl/>
        <w:kinsoku w:val="0"/>
        <w:autoSpaceDE w:val="0"/>
        <w:autoSpaceDN w:val="0"/>
        <w:adjustRightInd w:val="0"/>
        <w:snapToGrid w:val="0"/>
        <w:spacing w:line="560" w:lineRule="exact"/>
        <w:ind w:firstLine="570" w:firstLineChars="200"/>
        <w:textAlignment w:val="baseline"/>
        <w:rPr>
          <w:rFonts w:ascii="仿宋" w:hAnsi="仿宋" w:eastAsia="仿宋" w:cs="Times New Roman"/>
          <w:b/>
          <w:snapToGrid w:val="0"/>
          <w:color w:val="000000"/>
          <w:spacing w:val="2"/>
          <w:kern w:val="0"/>
          <w:sz w:val="28"/>
          <w:szCs w:val="28"/>
        </w:rPr>
      </w:pPr>
      <w:r>
        <w:rPr>
          <w:rFonts w:ascii="仿宋" w:hAnsi="仿宋" w:eastAsia="仿宋" w:cs="Times New Roman"/>
          <w:b/>
          <w:snapToGrid w:val="0"/>
          <w:color w:val="000000"/>
          <w:spacing w:val="2"/>
          <w:kern w:val="0"/>
          <w:sz w:val="28"/>
          <w:szCs w:val="28"/>
        </w:rPr>
        <w:t>1.控施氮肥、合理施用硅钙肥</w:t>
      </w:r>
    </w:p>
    <w:p w14:paraId="0C4F2EA6">
      <w:pPr>
        <w:widowControl/>
        <w:kinsoku w:val="0"/>
        <w:autoSpaceDE w:val="0"/>
        <w:autoSpaceDN w:val="0"/>
        <w:adjustRightInd w:val="0"/>
        <w:snapToGrid w:val="0"/>
        <w:spacing w:line="560" w:lineRule="exact"/>
        <w:ind w:firstLine="568" w:firstLineChars="200"/>
        <w:textAlignment w:val="baseline"/>
        <w:rPr>
          <w:rFonts w:ascii="仿宋" w:hAnsi="仿宋" w:eastAsia="仿宋" w:cs="Times New Roman"/>
          <w:snapToGrid w:val="0"/>
          <w:color w:val="000000"/>
          <w:spacing w:val="2"/>
          <w:kern w:val="0"/>
          <w:sz w:val="28"/>
          <w:szCs w:val="28"/>
        </w:rPr>
      </w:pPr>
      <w:r>
        <w:rPr>
          <w:rFonts w:ascii="仿宋" w:hAnsi="仿宋" w:eastAsia="仿宋" w:cs="Times New Roman"/>
          <w:snapToGrid w:val="0"/>
          <w:color w:val="000000"/>
          <w:spacing w:val="2"/>
          <w:kern w:val="0"/>
          <w:sz w:val="28"/>
          <w:szCs w:val="28"/>
        </w:rPr>
        <w:t>由于镰刀菌适宜弱酸环境，</w:t>
      </w:r>
      <w:r>
        <w:rPr>
          <w:rFonts w:hint="eastAsia" w:ascii="仿宋" w:hAnsi="仿宋" w:eastAsia="仿宋" w:cs="Times New Roman"/>
          <w:snapToGrid w:val="0"/>
          <w:color w:val="000000"/>
          <w:spacing w:val="2"/>
          <w:kern w:val="0"/>
          <w:sz w:val="28"/>
          <w:szCs w:val="28"/>
        </w:rPr>
        <w:t>而</w:t>
      </w:r>
      <w:r>
        <w:rPr>
          <w:rFonts w:ascii="仿宋" w:hAnsi="仿宋" w:eastAsia="仿宋" w:cs="Times New Roman"/>
          <w:snapToGrid w:val="0"/>
          <w:color w:val="000000"/>
          <w:spacing w:val="2"/>
          <w:kern w:val="0"/>
          <w:sz w:val="28"/>
          <w:szCs w:val="28"/>
        </w:rPr>
        <w:t>硅钙肥是一种含硅酸钙为主的微碱性肥料，是很好的调节性肥料。</w:t>
      </w:r>
      <w:r>
        <w:rPr>
          <w:rFonts w:hint="eastAsia" w:ascii="仿宋" w:hAnsi="仿宋" w:eastAsia="仿宋" w:cs="Times New Roman"/>
          <w:snapToGrid w:val="0"/>
          <w:color w:val="000000"/>
          <w:spacing w:val="2"/>
          <w:kern w:val="0"/>
          <w:sz w:val="28"/>
          <w:szCs w:val="28"/>
        </w:rPr>
        <w:t>一般用量为1</w:t>
      </w:r>
      <w:r>
        <w:rPr>
          <w:rFonts w:ascii="仿宋" w:hAnsi="仿宋" w:eastAsia="仿宋" w:cs="Times New Roman"/>
          <w:snapToGrid w:val="0"/>
          <w:color w:val="000000"/>
          <w:spacing w:val="2"/>
          <w:kern w:val="0"/>
          <w:sz w:val="28"/>
          <w:szCs w:val="28"/>
        </w:rPr>
        <w:t>5～</w:t>
      </w:r>
      <w:r>
        <w:rPr>
          <w:rFonts w:hint="eastAsia" w:ascii="仿宋" w:hAnsi="仿宋" w:eastAsia="仿宋" w:cs="Times New Roman"/>
          <w:snapToGrid w:val="0"/>
          <w:color w:val="000000"/>
          <w:spacing w:val="2"/>
          <w:kern w:val="0"/>
          <w:sz w:val="28"/>
          <w:szCs w:val="28"/>
        </w:rPr>
        <w:t>2</w:t>
      </w:r>
      <w:r>
        <w:rPr>
          <w:rFonts w:ascii="仿宋" w:hAnsi="仿宋" w:eastAsia="仿宋" w:cs="Times New Roman"/>
          <w:snapToGrid w:val="0"/>
          <w:color w:val="000000"/>
          <w:spacing w:val="2"/>
          <w:kern w:val="0"/>
          <w:sz w:val="28"/>
          <w:szCs w:val="28"/>
        </w:rPr>
        <w:t xml:space="preserve">0 </w:t>
      </w:r>
      <w:r>
        <w:rPr>
          <w:rFonts w:hint="eastAsia" w:ascii="仿宋" w:hAnsi="仿宋" w:eastAsia="仿宋" w:cs="Times New Roman"/>
          <w:snapToGrid w:val="0"/>
          <w:color w:val="000000"/>
          <w:spacing w:val="2"/>
          <w:kern w:val="0"/>
          <w:sz w:val="28"/>
          <w:szCs w:val="28"/>
        </w:rPr>
        <w:t>kg</w:t>
      </w:r>
      <w:r>
        <w:rPr>
          <w:rFonts w:ascii="仿宋" w:hAnsi="仿宋" w:eastAsia="仿宋" w:cs="Times New Roman"/>
          <w:snapToGrid w:val="0"/>
          <w:color w:val="000000"/>
          <w:spacing w:val="2"/>
          <w:kern w:val="0"/>
          <w:sz w:val="28"/>
          <w:szCs w:val="28"/>
        </w:rPr>
        <w:t>/</w:t>
      </w:r>
      <w:r>
        <w:rPr>
          <w:rFonts w:hint="eastAsia" w:ascii="仿宋" w:hAnsi="仿宋" w:eastAsia="仿宋" w:cs="Times New Roman"/>
          <w:snapToGrid w:val="0"/>
          <w:color w:val="000000"/>
          <w:spacing w:val="2"/>
          <w:kern w:val="0"/>
          <w:sz w:val="28"/>
          <w:szCs w:val="28"/>
        </w:rPr>
        <w:t>亩。</w:t>
      </w:r>
    </w:p>
    <w:p w14:paraId="54BD431C">
      <w:pPr>
        <w:kinsoku w:val="0"/>
        <w:autoSpaceDE w:val="0"/>
        <w:autoSpaceDN w:val="0"/>
        <w:adjustRightInd w:val="0"/>
        <w:snapToGrid w:val="0"/>
        <w:spacing w:line="560" w:lineRule="exact"/>
        <w:ind w:firstLine="570" w:firstLineChars="200"/>
        <w:textAlignment w:val="baseline"/>
        <w:rPr>
          <w:rFonts w:ascii="Times New Roman" w:hAnsi="Times New Roman" w:eastAsia="仿宋" w:cs="Times New Roman"/>
          <w:b/>
          <w:snapToGrid w:val="0"/>
          <w:color w:val="000000"/>
          <w:spacing w:val="2"/>
          <w:kern w:val="0"/>
          <w:sz w:val="28"/>
          <w:szCs w:val="28"/>
        </w:rPr>
      </w:pPr>
      <w:r>
        <w:rPr>
          <w:rFonts w:ascii="Times New Roman" w:hAnsi="Times New Roman" w:eastAsia="仿宋" w:cs="Times New Roman"/>
          <w:b/>
          <w:snapToGrid w:val="0"/>
          <w:color w:val="000000"/>
          <w:spacing w:val="2"/>
          <w:kern w:val="0"/>
          <w:sz w:val="28"/>
          <w:szCs w:val="28"/>
        </w:rPr>
        <w:t>2.增施有机肥</w:t>
      </w:r>
    </w:p>
    <w:p w14:paraId="7BC47AD6">
      <w:pPr>
        <w:kinsoku w:val="0"/>
        <w:autoSpaceDE w:val="0"/>
        <w:autoSpaceDN w:val="0"/>
        <w:adjustRightInd w:val="0"/>
        <w:snapToGrid w:val="0"/>
        <w:spacing w:line="560" w:lineRule="exact"/>
        <w:ind w:firstLine="568" w:firstLineChars="200"/>
        <w:textAlignment w:val="baseline"/>
        <w:rPr>
          <w:rFonts w:ascii="仿宋" w:hAnsi="仿宋" w:eastAsia="仿宋" w:cs="Times New Roman"/>
          <w:snapToGrid w:val="0"/>
          <w:color w:val="000000"/>
          <w:spacing w:val="2"/>
          <w:kern w:val="0"/>
          <w:sz w:val="28"/>
          <w:szCs w:val="28"/>
        </w:rPr>
      </w:pPr>
      <w:r>
        <w:rPr>
          <w:rFonts w:ascii="仿宋" w:hAnsi="仿宋" w:eastAsia="仿宋" w:cs="Times New Roman"/>
          <w:snapToGrid w:val="0"/>
          <w:color w:val="000000"/>
          <w:spacing w:val="2"/>
          <w:kern w:val="0"/>
          <w:sz w:val="28"/>
          <w:szCs w:val="28"/>
        </w:rPr>
        <w:t>有机肥主要指农家肥。</w:t>
      </w:r>
      <w:r>
        <w:rPr>
          <w:rFonts w:hint="eastAsia" w:ascii="仿宋" w:hAnsi="仿宋" w:eastAsia="仿宋" w:cs="Times New Roman"/>
          <w:snapToGrid w:val="0"/>
          <w:color w:val="000000"/>
          <w:spacing w:val="2"/>
          <w:kern w:val="0"/>
          <w:sz w:val="28"/>
          <w:szCs w:val="28"/>
        </w:rPr>
        <w:t>主要有鸡粪、牛粪、蚯蚓粪等，用量为5</w:t>
      </w:r>
      <w:r>
        <w:rPr>
          <w:rFonts w:ascii="仿宋" w:hAnsi="仿宋" w:eastAsia="仿宋" w:cs="Times New Roman"/>
          <w:snapToGrid w:val="0"/>
          <w:color w:val="000000"/>
          <w:spacing w:val="2"/>
          <w:kern w:val="0"/>
          <w:sz w:val="28"/>
          <w:szCs w:val="28"/>
        </w:rPr>
        <w:t>00</w:t>
      </w:r>
      <w:r>
        <w:rPr>
          <w:rFonts w:hint="eastAsia" w:ascii="仿宋" w:hAnsi="仿宋" w:eastAsia="仿宋" w:cs="Times New Roman"/>
          <w:snapToGrid w:val="0"/>
          <w:color w:val="000000"/>
          <w:spacing w:val="2"/>
          <w:kern w:val="0"/>
          <w:sz w:val="28"/>
          <w:szCs w:val="28"/>
        </w:rPr>
        <w:t>0</w:t>
      </w:r>
      <w:r>
        <w:rPr>
          <w:rFonts w:ascii="仿宋" w:hAnsi="仿宋" w:eastAsia="仿宋" w:cs="Times New Roman"/>
          <w:snapToGrid w:val="0"/>
          <w:color w:val="000000"/>
          <w:spacing w:val="2"/>
          <w:kern w:val="0"/>
          <w:sz w:val="28"/>
          <w:szCs w:val="28"/>
        </w:rPr>
        <w:t>～</w:t>
      </w:r>
      <w:r>
        <w:rPr>
          <w:rFonts w:hint="eastAsia" w:ascii="仿宋" w:hAnsi="仿宋" w:eastAsia="仿宋" w:cs="Times New Roman"/>
          <w:snapToGrid w:val="0"/>
          <w:color w:val="000000"/>
          <w:spacing w:val="2"/>
          <w:kern w:val="0"/>
          <w:sz w:val="28"/>
          <w:szCs w:val="28"/>
        </w:rPr>
        <w:t>8</w:t>
      </w:r>
      <w:r>
        <w:rPr>
          <w:rFonts w:ascii="仿宋" w:hAnsi="仿宋" w:eastAsia="仿宋" w:cs="Times New Roman"/>
          <w:snapToGrid w:val="0"/>
          <w:color w:val="000000"/>
          <w:spacing w:val="2"/>
          <w:kern w:val="0"/>
          <w:sz w:val="28"/>
          <w:szCs w:val="28"/>
        </w:rPr>
        <w:t>00</w:t>
      </w:r>
      <w:r>
        <w:rPr>
          <w:rFonts w:hint="eastAsia" w:ascii="仿宋" w:hAnsi="仿宋" w:eastAsia="仿宋" w:cs="Times New Roman"/>
          <w:snapToGrid w:val="0"/>
          <w:color w:val="000000"/>
          <w:spacing w:val="2"/>
          <w:kern w:val="0"/>
          <w:sz w:val="28"/>
          <w:szCs w:val="28"/>
        </w:rPr>
        <w:t>0</w:t>
      </w:r>
      <w:r>
        <w:rPr>
          <w:rFonts w:ascii="仿宋" w:hAnsi="仿宋" w:eastAsia="仿宋" w:cs="Times New Roman"/>
          <w:snapToGrid w:val="0"/>
          <w:color w:val="000000"/>
          <w:spacing w:val="2"/>
          <w:kern w:val="0"/>
          <w:sz w:val="28"/>
          <w:szCs w:val="28"/>
        </w:rPr>
        <w:t xml:space="preserve"> </w:t>
      </w:r>
      <w:r>
        <w:rPr>
          <w:rFonts w:hint="eastAsia" w:ascii="仿宋" w:hAnsi="仿宋" w:eastAsia="仿宋" w:cs="Times New Roman"/>
          <w:snapToGrid w:val="0"/>
          <w:color w:val="000000"/>
          <w:spacing w:val="2"/>
          <w:kern w:val="0"/>
          <w:sz w:val="28"/>
          <w:szCs w:val="28"/>
        </w:rPr>
        <w:t>kg/亩。</w:t>
      </w:r>
    </w:p>
    <w:p w14:paraId="3BA952A3">
      <w:pPr>
        <w:kinsoku w:val="0"/>
        <w:autoSpaceDE w:val="0"/>
        <w:autoSpaceDN w:val="0"/>
        <w:adjustRightInd w:val="0"/>
        <w:snapToGrid w:val="0"/>
        <w:spacing w:line="560" w:lineRule="exact"/>
        <w:ind w:firstLine="647" w:firstLineChars="200"/>
        <w:textAlignment w:val="baseline"/>
        <w:rPr>
          <w:rFonts w:ascii="Times New Roman" w:hAnsi="Times New Roman" w:eastAsia="楷体_GB2312" w:cs="Times New Roman"/>
          <w:b/>
          <w:snapToGrid w:val="0"/>
          <w:color w:val="000000"/>
          <w:spacing w:val="1"/>
          <w:kern w:val="0"/>
          <w:sz w:val="32"/>
          <w:szCs w:val="32"/>
        </w:rPr>
      </w:pPr>
      <w:r>
        <w:rPr>
          <w:rFonts w:ascii="Times New Roman" w:hAnsi="Times New Roman" w:eastAsia="楷体_GB2312" w:cs="Times New Roman"/>
          <w:b/>
          <w:snapToGrid w:val="0"/>
          <w:color w:val="000000"/>
          <w:spacing w:val="1"/>
          <w:kern w:val="0"/>
          <w:sz w:val="32"/>
          <w:szCs w:val="32"/>
        </w:rPr>
        <w:t>（五）药剂防治</w:t>
      </w:r>
    </w:p>
    <w:p w14:paraId="69D40A75">
      <w:pPr>
        <w:kinsoku w:val="0"/>
        <w:autoSpaceDE w:val="0"/>
        <w:autoSpaceDN w:val="0"/>
        <w:adjustRightInd w:val="0"/>
        <w:snapToGrid w:val="0"/>
        <w:spacing w:line="560" w:lineRule="exact"/>
        <w:ind w:firstLine="570" w:firstLineChars="200"/>
        <w:textAlignment w:val="baseline"/>
        <w:rPr>
          <w:rFonts w:ascii="仿宋" w:hAnsi="仿宋" w:eastAsia="仿宋" w:cs="Times New Roman"/>
          <w:b/>
          <w:snapToGrid w:val="0"/>
          <w:color w:val="000000"/>
          <w:spacing w:val="2"/>
          <w:kern w:val="0"/>
          <w:sz w:val="28"/>
          <w:szCs w:val="28"/>
        </w:rPr>
      </w:pPr>
      <w:r>
        <w:rPr>
          <w:rFonts w:ascii="仿宋" w:hAnsi="仿宋" w:eastAsia="仿宋" w:cs="Times New Roman"/>
          <w:b/>
          <w:snapToGrid w:val="0"/>
          <w:color w:val="000000"/>
          <w:spacing w:val="2"/>
          <w:kern w:val="0"/>
          <w:sz w:val="28"/>
          <w:szCs w:val="28"/>
        </w:rPr>
        <w:t>1.土壤消毒</w:t>
      </w:r>
    </w:p>
    <w:p w14:paraId="06A22324">
      <w:pPr>
        <w:kinsoku w:val="0"/>
        <w:autoSpaceDE w:val="0"/>
        <w:autoSpaceDN w:val="0"/>
        <w:adjustRightInd w:val="0"/>
        <w:snapToGrid w:val="0"/>
        <w:spacing w:line="560" w:lineRule="exact"/>
        <w:ind w:firstLine="568" w:firstLineChars="200"/>
        <w:textAlignment w:val="baseline"/>
        <w:rPr>
          <w:rFonts w:ascii="仿宋" w:hAnsi="仿宋" w:eastAsia="仿宋" w:cs="Times New Roman"/>
          <w:snapToGrid w:val="0"/>
          <w:color w:val="000000"/>
          <w:spacing w:val="2"/>
          <w:kern w:val="0"/>
          <w:sz w:val="28"/>
          <w:szCs w:val="28"/>
        </w:rPr>
      </w:pPr>
      <w:r>
        <w:rPr>
          <w:rFonts w:ascii="仿宋" w:hAnsi="仿宋" w:eastAsia="仿宋" w:cs="Times New Roman"/>
          <w:snapToGrid w:val="0"/>
          <w:color w:val="000000"/>
          <w:spacing w:val="2"/>
          <w:kern w:val="0"/>
          <w:sz w:val="28"/>
          <w:szCs w:val="28"/>
        </w:rPr>
        <w:t>土壤消毒是一种高效快速杀灭土壤中真菌、细菌、线虫、杂草、土传病毒、地下害虫、啮齿动物的技术，能很好地解决高附加值作物的重茬问题，并显著提高作物的产量和品质。土壤消毒剂较好的有棉隆、</w:t>
      </w:r>
      <w:r>
        <w:rPr>
          <w:rFonts w:hint="eastAsia" w:ascii="仿宋" w:hAnsi="仿宋" w:eastAsia="仿宋" w:cs="Times New Roman"/>
          <w:snapToGrid w:val="0"/>
          <w:color w:val="000000"/>
          <w:spacing w:val="2"/>
          <w:kern w:val="0"/>
          <w:sz w:val="28"/>
          <w:szCs w:val="28"/>
        </w:rPr>
        <w:t>威百亩、石灰氮、碳铵等，用量为1</w:t>
      </w:r>
      <w:r>
        <w:rPr>
          <w:rFonts w:ascii="仿宋" w:hAnsi="仿宋" w:eastAsia="仿宋" w:cs="Times New Roman"/>
          <w:snapToGrid w:val="0"/>
          <w:color w:val="000000"/>
          <w:spacing w:val="2"/>
          <w:kern w:val="0"/>
          <w:sz w:val="28"/>
          <w:szCs w:val="28"/>
        </w:rPr>
        <w:t xml:space="preserve">5～20 </w:t>
      </w:r>
      <w:r>
        <w:rPr>
          <w:rFonts w:hint="eastAsia" w:ascii="仿宋" w:hAnsi="仿宋" w:eastAsia="仿宋" w:cs="Times New Roman"/>
          <w:snapToGrid w:val="0"/>
          <w:color w:val="000000"/>
          <w:spacing w:val="2"/>
          <w:kern w:val="0"/>
          <w:sz w:val="28"/>
          <w:szCs w:val="28"/>
        </w:rPr>
        <w:t>kg/亩</w:t>
      </w:r>
      <w:r>
        <w:rPr>
          <w:rFonts w:ascii="仿宋" w:hAnsi="仿宋" w:eastAsia="仿宋" w:cs="Times New Roman"/>
          <w:snapToGrid w:val="0"/>
          <w:color w:val="000000"/>
          <w:spacing w:val="2"/>
          <w:kern w:val="0"/>
          <w:sz w:val="28"/>
          <w:szCs w:val="28"/>
        </w:rPr>
        <w:t>。</w:t>
      </w:r>
    </w:p>
    <w:p w14:paraId="152AE07E">
      <w:pPr>
        <w:kinsoku w:val="0"/>
        <w:autoSpaceDE w:val="0"/>
        <w:autoSpaceDN w:val="0"/>
        <w:adjustRightInd w:val="0"/>
        <w:snapToGrid w:val="0"/>
        <w:jc w:val="left"/>
        <w:textAlignment w:val="baseline"/>
        <w:rPr>
          <w:rFonts w:ascii="Arial" w:hAnsi="Arial" w:eastAsia="Arial" w:cs="Arial"/>
          <w:snapToGrid w:val="0"/>
          <w:color w:val="000000"/>
          <w:kern w:val="0"/>
          <w:szCs w:val="21"/>
        </w:rPr>
      </w:pPr>
      <w:r>
        <w:rPr>
          <w:rFonts w:ascii="Arial" w:hAnsi="Arial" w:eastAsia="Arial" w:cs="Arial"/>
          <w:snapToGrid w:val="0"/>
          <w:color w:val="000000"/>
          <w:kern w:val="0"/>
          <w:szCs w:val="21"/>
        </w:rPr>
        <w:drawing>
          <wp:inline distT="0" distB="0" distL="0" distR="0">
            <wp:extent cx="5637530" cy="2168525"/>
            <wp:effectExtent l="0" t="0" r="127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637530" cy="2168525"/>
                    </a:xfrm>
                    <a:prstGeom prst="rect">
                      <a:avLst/>
                    </a:prstGeom>
                    <a:noFill/>
                    <a:ln>
                      <a:noFill/>
                    </a:ln>
                  </pic:spPr>
                </pic:pic>
              </a:graphicData>
            </a:graphic>
          </wp:inline>
        </w:drawing>
      </w:r>
    </w:p>
    <w:p w14:paraId="28F2EF08">
      <w:pPr>
        <w:kinsoku w:val="0"/>
        <w:autoSpaceDE w:val="0"/>
        <w:autoSpaceDN w:val="0"/>
        <w:adjustRightInd w:val="0"/>
        <w:snapToGrid w:val="0"/>
        <w:spacing w:line="560" w:lineRule="exact"/>
        <w:ind w:firstLine="568" w:firstLineChars="200"/>
        <w:jc w:val="center"/>
        <w:textAlignment w:val="baseline"/>
        <w:rPr>
          <w:rFonts w:ascii="Times New Roman" w:hAnsi="Times New Roman" w:eastAsia="仿宋" w:cs="Times New Roman"/>
          <w:snapToGrid w:val="0"/>
          <w:color w:val="000000"/>
          <w:spacing w:val="2"/>
          <w:kern w:val="0"/>
          <w:sz w:val="28"/>
          <w:szCs w:val="28"/>
        </w:rPr>
      </w:pPr>
      <w:r>
        <w:rPr>
          <w:rFonts w:hint="eastAsia" w:ascii="Times New Roman" w:hAnsi="Times New Roman" w:eastAsia="仿宋" w:cs="Times New Roman"/>
          <w:snapToGrid w:val="0"/>
          <w:color w:val="000000"/>
          <w:spacing w:val="2"/>
          <w:kern w:val="0"/>
          <w:sz w:val="28"/>
          <w:szCs w:val="28"/>
        </w:rPr>
        <w:t>威百亩土壤消毒示意图</w:t>
      </w:r>
    </w:p>
    <w:p w14:paraId="0AC8D4A9">
      <w:pPr>
        <w:kinsoku w:val="0"/>
        <w:autoSpaceDE w:val="0"/>
        <w:autoSpaceDN w:val="0"/>
        <w:adjustRightInd w:val="0"/>
        <w:snapToGrid w:val="0"/>
        <w:spacing w:line="560" w:lineRule="exact"/>
        <w:ind w:firstLine="570" w:firstLineChars="200"/>
        <w:textAlignment w:val="baseline"/>
        <w:rPr>
          <w:rFonts w:ascii="仿宋" w:hAnsi="仿宋" w:eastAsia="仿宋" w:cs="Times New Roman"/>
          <w:b/>
          <w:snapToGrid w:val="0"/>
          <w:color w:val="000000"/>
          <w:spacing w:val="2"/>
          <w:kern w:val="0"/>
          <w:sz w:val="28"/>
          <w:szCs w:val="28"/>
        </w:rPr>
      </w:pPr>
      <w:r>
        <w:rPr>
          <w:rFonts w:ascii="仿宋" w:hAnsi="仿宋" w:eastAsia="仿宋" w:cs="Times New Roman"/>
          <w:b/>
          <w:snapToGrid w:val="0"/>
          <w:color w:val="000000"/>
          <w:spacing w:val="2"/>
          <w:kern w:val="0"/>
          <w:sz w:val="28"/>
          <w:szCs w:val="28"/>
        </w:rPr>
        <w:t>2.药剂灌根</w:t>
      </w:r>
    </w:p>
    <w:p w14:paraId="55930733">
      <w:pPr>
        <w:kinsoku w:val="0"/>
        <w:autoSpaceDE w:val="0"/>
        <w:autoSpaceDN w:val="0"/>
        <w:adjustRightInd w:val="0"/>
        <w:snapToGrid w:val="0"/>
        <w:spacing w:line="560" w:lineRule="exact"/>
        <w:ind w:firstLine="568" w:firstLineChars="200"/>
        <w:textAlignment w:val="baseline"/>
        <w:rPr>
          <w:rFonts w:ascii="仿宋" w:hAnsi="仿宋" w:eastAsia="仿宋" w:cs="Times New Roman"/>
          <w:snapToGrid w:val="0"/>
          <w:color w:val="000000"/>
          <w:spacing w:val="2"/>
          <w:kern w:val="0"/>
          <w:sz w:val="28"/>
          <w:szCs w:val="28"/>
        </w:rPr>
      </w:pPr>
      <w:r>
        <w:rPr>
          <w:rFonts w:ascii="仿宋" w:hAnsi="仿宋" w:eastAsia="仿宋" w:cs="Times New Roman"/>
          <w:snapToGrid w:val="0"/>
          <w:color w:val="000000"/>
          <w:spacing w:val="2"/>
          <w:kern w:val="0"/>
          <w:sz w:val="28"/>
          <w:szCs w:val="28"/>
        </w:rPr>
        <w:t>药剂种类</w:t>
      </w:r>
      <w:r>
        <w:rPr>
          <w:rFonts w:hint="eastAsia" w:ascii="仿宋" w:hAnsi="仿宋" w:eastAsia="仿宋" w:cs="Times New Roman"/>
          <w:snapToGrid w:val="0"/>
          <w:color w:val="000000"/>
          <w:spacing w:val="2"/>
          <w:kern w:val="0"/>
          <w:sz w:val="28"/>
          <w:szCs w:val="28"/>
        </w:rPr>
        <w:t>：</w:t>
      </w:r>
      <w:r>
        <w:rPr>
          <w:rFonts w:ascii="仿宋" w:hAnsi="仿宋" w:eastAsia="仿宋" w:cs="Times New Roman"/>
          <w:snapToGrid w:val="0"/>
          <w:color w:val="000000"/>
          <w:spacing w:val="2"/>
          <w:kern w:val="0"/>
          <w:sz w:val="28"/>
          <w:szCs w:val="28"/>
        </w:rPr>
        <w:t>25%使百克乳油、50%多霉灵可湿性粉剂、70%恶霉灵可湿性粉剂、50%扑海因可湿性粉剂。药剂对水配制成1500倍药液，于西</w:t>
      </w:r>
      <w:r>
        <w:rPr>
          <w:rFonts w:hint="eastAsia" w:ascii="仿宋" w:hAnsi="仿宋" w:eastAsia="仿宋" w:cs="Times New Roman"/>
          <w:snapToGrid w:val="0"/>
          <w:color w:val="000000"/>
          <w:spacing w:val="2"/>
          <w:kern w:val="0"/>
          <w:sz w:val="28"/>
          <w:szCs w:val="28"/>
        </w:rPr>
        <w:t>瓜</w:t>
      </w:r>
      <w:r>
        <w:rPr>
          <w:rFonts w:ascii="仿宋" w:hAnsi="仿宋" w:eastAsia="仿宋" w:cs="Times New Roman"/>
          <w:snapToGrid w:val="0"/>
          <w:color w:val="000000"/>
          <w:spacing w:val="2"/>
          <w:kern w:val="0"/>
          <w:sz w:val="28"/>
          <w:szCs w:val="28"/>
        </w:rPr>
        <w:t>、甜瓜伸蔓期至成熟期，每2～3周用药1次，灌根。1个生长季节内1种药剂最好不超过2次，轮换使用不同药剂。</w:t>
      </w:r>
    </w:p>
    <w:p w14:paraId="04880506">
      <w:pPr>
        <w:kinsoku w:val="0"/>
        <w:autoSpaceDE w:val="0"/>
        <w:autoSpaceDN w:val="0"/>
        <w:adjustRightInd w:val="0"/>
        <w:snapToGrid w:val="0"/>
        <w:spacing w:line="560" w:lineRule="exact"/>
        <w:ind w:firstLine="647" w:firstLineChars="200"/>
        <w:textAlignment w:val="baseline"/>
        <w:rPr>
          <w:rFonts w:ascii="Times New Roman" w:hAnsi="Times New Roman" w:eastAsia="楷体_GB2312" w:cs="Times New Roman"/>
          <w:b/>
          <w:snapToGrid w:val="0"/>
          <w:color w:val="000000"/>
          <w:spacing w:val="1"/>
          <w:kern w:val="0"/>
          <w:sz w:val="32"/>
          <w:szCs w:val="32"/>
        </w:rPr>
      </w:pPr>
      <w:r>
        <w:rPr>
          <w:rFonts w:ascii="Times New Roman" w:hAnsi="Times New Roman" w:eastAsia="楷体_GB2312" w:cs="Times New Roman"/>
          <w:b/>
          <w:snapToGrid w:val="0"/>
          <w:color w:val="000000"/>
          <w:spacing w:val="1"/>
          <w:kern w:val="0"/>
          <w:sz w:val="32"/>
          <w:szCs w:val="32"/>
        </w:rPr>
        <w:t>（六）其他措施</w:t>
      </w:r>
    </w:p>
    <w:p w14:paraId="71357452">
      <w:pPr>
        <w:kinsoku w:val="0"/>
        <w:autoSpaceDE w:val="0"/>
        <w:autoSpaceDN w:val="0"/>
        <w:adjustRightInd w:val="0"/>
        <w:snapToGrid w:val="0"/>
        <w:spacing w:line="560" w:lineRule="exact"/>
        <w:ind w:firstLine="570" w:firstLineChars="200"/>
        <w:textAlignment w:val="baseline"/>
        <w:rPr>
          <w:rFonts w:ascii="仿宋" w:hAnsi="仿宋" w:eastAsia="仿宋" w:cs="Times New Roman"/>
          <w:b/>
          <w:snapToGrid w:val="0"/>
          <w:color w:val="000000"/>
          <w:spacing w:val="2"/>
          <w:kern w:val="0"/>
          <w:sz w:val="28"/>
          <w:szCs w:val="28"/>
        </w:rPr>
      </w:pPr>
      <w:r>
        <w:rPr>
          <w:rFonts w:ascii="仿宋" w:hAnsi="仿宋" w:eastAsia="仿宋" w:cs="Times New Roman"/>
          <w:b/>
          <w:snapToGrid w:val="0"/>
          <w:color w:val="000000"/>
          <w:spacing w:val="2"/>
          <w:kern w:val="0"/>
          <w:sz w:val="28"/>
          <w:szCs w:val="28"/>
        </w:rPr>
        <w:t>1.“水肥菌”一体化管理技术</w:t>
      </w:r>
    </w:p>
    <w:p w14:paraId="2ABC5006">
      <w:pPr>
        <w:kinsoku w:val="0"/>
        <w:autoSpaceDE w:val="0"/>
        <w:autoSpaceDN w:val="0"/>
        <w:adjustRightInd w:val="0"/>
        <w:snapToGrid w:val="0"/>
        <w:spacing w:line="560" w:lineRule="exact"/>
        <w:ind w:firstLine="568" w:firstLineChars="200"/>
        <w:textAlignment w:val="baseline"/>
        <w:rPr>
          <w:rFonts w:ascii="仿宋" w:hAnsi="仿宋" w:eastAsia="仿宋" w:cs="Times New Roman"/>
          <w:snapToGrid w:val="0"/>
          <w:color w:val="000000"/>
          <w:spacing w:val="2"/>
          <w:kern w:val="0"/>
          <w:sz w:val="28"/>
          <w:szCs w:val="28"/>
        </w:rPr>
      </w:pPr>
      <w:r>
        <w:rPr>
          <w:rFonts w:ascii="仿宋" w:hAnsi="仿宋" w:eastAsia="仿宋" w:cs="Times New Roman"/>
          <w:snapToGrid w:val="0"/>
          <w:color w:val="000000"/>
          <w:spacing w:val="2"/>
          <w:kern w:val="0"/>
          <w:sz w:val="28"/>
          <w:szCs w:val="28"/>
        </w:rPr>
        <w:t>改传统的灌水、施肥分别作业为“水肥菌”同步施入作业，施肥量减少50%时产量不减；在同步施入菌剂的情况下，使菌、肥、水的作用相互促进。</w:t>
      </w:r>
    </w:p>
    <w:p w14:paraId="0BC4A2EA">
      <w:pPr>
        <w:kinsoku w:val="0"/>
        <w:autoSpaceDE w:val="0"/>
        <w:autoSpaceDN w:val="0"/>
        <w:adjustRightInd w:val="0"/>
        <w:snapToGrid w:val="0"/>
        <w:spacing w:line="560" w:lineRule="exact"/>
        <w:ind w:firstLine="570" w:firstLineChars="200"/>
        <w:textAlignment w:val="baseline"/>
        <w:rPr>
          <w:rFonts w:ascii="仿宋" w:hAnsi="仿宋" w:eastAsia="仿宋" w:cs="Times New Roman"/>
          <w:b/>
          <w:snapToGrid w:val="0"/>
          <w:color w:val="000000"/>
          <w:spacing w:val="2"/>
          <w:kern w:val="0"/>
          <w:sz w:val="28"/>
          <w:szCs w:val="28"/>
        </w:rPr>
      </w:pPr>
      <w:r>
        <w:rPr>
          <w:rFonts w:ascii="仿宋" w:hAnsi="仿宋" w:eastAsia="仿宋" w:cs="Times New Roman"/>
          <w:b/>
          <w:snapToGrid w:val="0"/>
          <w:color w:val="000000"/>
          <w:spacing w:val="2"/>
          <w:kern w:val="0"/>
          <w:sz w:val="28"/>
          <w:szCs w:val="28"/>
        </w:rPr>
        <w:t>2.嫁接</w:t>
      </w:r>
    </w:p>
    <w:p w14:paraId="11AA9BF0">
      <w:pPr>
        <w:kinsoku w:val="0"/>
        <w:autoSpaceDE w:val="0"/>
        <w:autoSpaceDN w:val="0"/>
        <w:adjustRightInd w:val="0"/>
        <w:snapToGrid w:val="0"/>
        <w:spacing w:line="560" w:lineRule="exact"/>
        <w:ind w:firstLine="568" w:firstLineChars="200"/>
        <w:textAlignment w:val="baseline"/>
        <w:rPr>
          <w:rFonts w:ascii="仿宋" w:hAnsi="仿宋" w:eastAsia="仿宋" w:cs="Times New Roman"/>
          <w:snapToGrid w:val="0"/>
          <w:color w:val="000000"/>
          <w:spacing w:val="2"/>
          <w:kern w:val="0"/>
          <w:sz w:val="28"/>
          <w:szCs w:val="28"/>
        </w:rPr>
      </w:pPr>
      <w:r>
        <w:rPr>
          <w:rFonts w:ascii="仿宋" w:hAnsi="仿宋" w:eastAsia="仿宋" w:cs="Times New Roman"/>
          <w:snapToGrid w:val="0"/>
          <w:color w:val="000000"/>
          <w:spacing w:val="2"/>
          <w:kern w:val="0"/>
          <w:sz w:val="28"/>
          <w:szCs w:val="28"/>
        </w:rPr>
        <w:t xml:space="preserve">嫁接可有效预防枯萎病等土传病害。重点在砧木的选择和嫁接后的管理，以提高嫁接苗成活率。嫁接后1～3 d白天温度控制在22～30 </w:t>
      </w:r>
      <w:r>
        <w:rPr>
          <w:rFonts w:hint="eastAsia" w:ascii="仿宋" w:hAnsi="仿宋" w:eastAsia="仿宋" w:cs="宋体"/>
          <w:snapToGrid w:val="0"/>
          <w:color w:val="000000"/>
          <w:spacing w:val="2"/>
          <w:kern w:val="0"/>
          <w:sz w:val="28"/>
          <w:szCs w:val="28"/>
        </w:rPr>
        <w:t>℃</w:t>
      </w:r>
      <w:r>
        <w:rPr>
          <w:rFonts w:ascii="仿宋" w:hAnsi="仿宋" w:eastAsia="仿宋" w:cs="Times New Roman"/>
          <w:snapToGrid w:val="0"/>
          <w:color w:val="000000"/>
          <w:spacing w:val="2"/>
          <w:kern w:val="0"/>
          <w:sz w:val="28"/>
          <w:szCs w:val="28"/>
        </w:rPr>
        <w:t xml:space="preserve">，夜间18～23 </w:t>
      </w:r>
      <w:r>
        <w:rPr>
          <w:rFonts w:hint="eastAsia" w:ascii="仿宋" w:hAnsi="仿宋" w:eastAsia="仿宋" w:cs="宋体"/>
          <w:snapToGrid w:val="0"/>
          <w:color w:val="000000"/>
          <w:spacing w:val="2"/>
          <w:kern w:val="0"/>
          <w:sz w:val="28"/>
          <w:szCs w:val="28"/>
        </w:rPr>
        <w:t>℃</w:t>
      </w:r>
      <w:r>
        <w:rPr>
          <w:rFonts w:ascii="仿宋" w:hAnsi="仿宋" w:eastAsia="仿宋" w:cs="Times New Roman"/>
          <w:snapToGrid w:val="0"/>
          <w:color w:val="000000"/>
          <w:spacing w:val="2"/>
          <w:kern w:val="0"/>
          <w:sz w:val="28"/>
          <w:szCs w:val="28"/>
        </w:rPr>
        <w:t>，空气湿度95%以上，第3天就可以适当见光，以后适当延长光照时间7 d后嫁接苗基本成活，及时摘除砧木不定芽。</w:t>
      </w:r>
    </w:p>
    <w:p w14:paraId="592D111D">
      <w:pPr>
        <w:kinsoku w:val="0"/>
        <w:autoSpaceDE w:val="0"/>
        <w:autoSpaceDN w:val="0"/>
        <w:adjustRightInd w:val="0"/>
        <w:snapToGrid w:val="0"/>
        <w:spacing w:line="560" w:lineRule="exact"/>
        <w:ind w:firstLine="570" w:firstLineChars="200"/>
        <w:textAlignment w:val="baseline"/>
        <w:rPr>
          <w:rFonts w:ascii="仿宋" w:hAnsi="仿宋" w:eastAsia="仿宋" w:cs="Times New Roman"/>
          <w:b/>
          <w:snapToGrid w:val="0"/>
          <w:color w:val="000000"/>
          <w:spacing w:val="2"/>
          <w:kern w:val="0"/>
          <w:sz w:val="28"/>
          <w:szCs w:val="28"/>
        </w:rPr>
      </w:pPr>
      <w:r>
        <w:rPr>
          <w:rFonts w:ascii="仿宋" w:hAnsi="仿宋" w:eastAsia="仿宋" w:cs="Times New Roman"/>
          <w:b/>
          <w:snapToGrid w:val="0"/>
          <w:color w:val="000000"/>
          <w:spacing w:val="2"/>
          <w:kern w:val="0"/>
          <w:sz w:val="28"/>
          <w:szCs w:val="28"/>
        </w:rPr>
        <w:t>3.无土栽培</w:t>
      </w:r>
    </w:p>
    <w:p w14:paraId="30F677F4">
      <w:pPr>
        <w:kinsoku w:val="0"/>
        <w:autoSpaceDE w:val="0"/>
        <w:autoSpaceDN w:val="0"/>
        <w:adjustRightInd w:val="0"/>
        <w:snapToGrid w:val="0"/>
        <w:spacing w:line="560" w:lineRule="exact"/>
        <w:ind w:firstLine="568" w:firstLineChars="200"/>
        <w:textAlignment w:val="baseline"/>
        <w:rPr>
          <w:rFonts w:ascii="仿宋" w:hAnsi="仿宋" w:eastAsia="仿宋" w:cs="Times New Roman"/>
          <w:snapToGrid w:val="0"/>
          <w:color w:val="000000"/>
          <w:spacing w:val="2"/>
          <w:kern w:val="0"/>
          <w:sz w:val="28"/>
          <w:szCs w:val="28"/>
        </w:rPr>
      </w:pPr>
      <w:r>
        <w:rPr>
          <w:rFonts w:ascii="仿宋" w:hAnsi="仿宋" w:eastAsia="仿宋" w:cs="Times New Roman"/>
          <w:snapToGrid w:val="0"/>
          <w:color w:val="000000"/>
          <w:spacing w:val="2"/>
          <w:kern w:val="0"/>
          <w:sz w:val="28"/>
          <w:szCs w:val="28"/>
        </w:rPr>
        <w:t>栽培设施类型多采用盆栽或栽培槽的形式。栽培槽铺设0.1 mm厚的聚乙烯塑料薄膜与地面隔离。在栽培槽底部加入厚5cm、粒径1～2cm的粗炉渣、石砾、陶粒等粗基质。粗基质上铺一层编织布，将粗基质与栽培基质隔离。在编织布上铺入栽培基质。栽培基质</w:t>
      </w:r>
      <w:r>
        <w:rPr>
          <w:rFonts w:hint="eastAsia" w:ascii="仿宋" w:hAnsi="仿宋" w:eastAsia="仿宋" w:cs="Times New Roman"/>
          <w:snapToGrid w:val="0"/>
          <w:color w:val="000000"/>
          <w:spacing w:val="2"/>
          <w:kern w:val="0"/>
          <w:sz w:val="28"/>
          <w:szCs w:val="28"/>
        </w:rPr>
        <w:t>可</w:t>
      </w:r>
      <w:r>
        <w:rPr>
          <w:rFonts w:ascii="仿宋" w:hAnsi="仿宋" w:eastAsia="仿宋" w:cs="Times New Roman"/>
          <w:snapToGrid w:val="0"/>
          <w:color w:val="000000"/>
          <w:spacing w:val="2"/>
          <w:kern w:val="0"/>
          <w:sz w:val="28"/>
          <w:szCs w:val="28"/>
        </w:rPr>
        <w:t>分2种，一是有机基质</w:t>
      </w:r>
      <w:r>
        <w:rPr>
          <w:rFonts w:hint="eastAsia" w:ascii="仿宋" w:hAnsi="仿宋" w:eastAsia="仿宋" w:cs="Times New Roman"/>
          <w:snapToGrid w:val="0"/>
          <w:color w:val="000000"/>
          <w:spacing w:val="2"/>
          <w:kern w:val="0"/>
          <w:sz w:val="28"/>
          <w:szCs w:val="28"/>
        </w:rPr>
        <w:t>，</w:t>
      </w:r>
      <w:r>
        <w:rPr>
          <w:rFonts w:ascii="仿宋" w:hAnsi="仿宋" w:eastAsia="仿宋" w:cs="Times New Roman"/>
          <w:snapToGrid w:val="0"/>
          <w:color w:val="000000"/>
          <w:spacing w:val="2"/>
          <w:kern w:val="0"/>
          <w:sz w:val="28"/>
          <w:szCs w:val="28"/>
        </w:rPr>
        <w:t>可因地制宜</w:t>
      </w:r>
      <w:r>
        <w:rPr>
          <w:rFonts w:hint="eastAsia" w:ascii="仿宋" w:hAnsi="仿宋" w:eastAsia="仿宋" w:cs="Times New Roman"/>
          <w:snapToGrid w:val="0"/>
          <w:color w:val="000000"/>
          <w:spacing w:val="2"/>
          <w:kern w:val="0"/>
          <w:sz w:val="28"/>
          <w:szCs w:val="28"/>
        </w:rPr>
        <w:t>、</w:t>
      </w:r>
      <w:r>
        <w:rPr>
          <w:rFonts w:ascii="仿宋" w:hAnsi="仿宋" w:eastAsia="仿宋" w:cs="Times New Roman"/>
          <w:snapToGrid w:val="0"/>
          <w:color w:val="000000"/>
          <w:spacing w:val="2"/>
          <w:kern w:val="0"/>
          <w:sz w:val="28"/>
          <w:szCs w:val="28"/>
        </w:rPr>
        <w:t>就地取材，如玉米芯、锯末、</w:t>
      </w:r>
      <w:r>
        <w:rPr>
          <w:rFonts w:hint="eastAsia" w:ascii="仿宋" w:hAnsi="仿宋" w:eastAsia="仿宋" w:cs="Times New Roman"/>
          <w:snapToGrid w:val="0"/>
          <w:color w:val="000000"/>
          <w:spacing w:val="2"/>
          <w:kern w:val="0"/>
          <w:sz w:val="28"/>
          <w:szCs w:val="28"/>
        </w:rPr>
        <w:t>椰糠</w:t>
      </w:r>
      <w:r>
        <w:rPr>
          <w:rFonts w:ascii="仿宋" w:hAnsi="仿宋" w:eastAsia="仿宋" w:cs="Times New Roman"/>
          <w:snapToGrid w:val="0"/>
          <w:color w:val="000000"/>
          <w:spacing w:val="2"/>
          <w:kern w:val="0"/>
          <w:sz w:val="28"/>
          <w:szCs w:val="28"/>
        </w:rPr>
        <w:t>、菇渣等。有机物基质使用前必须经过充分发酵。二是无机基质：如珍珠岩、蛭石、炉渣、砂等。基质配方一般有机基质占总体积的50%～70%，无机基质占30%～50%。养分供给用固态有机无机复混肥或有机肥+简易营养液，随水冲施。</w:t>
      </w:r>
    </w:p>
    <w:p w14:paraId="7A648D20">
      <w:pPr>
        <w:widowControl/>
        <w:kinsoku w:val="0"/>
        <w:autoSpaceDE w:val="0"/>
        <w:autoSpaceDN w:val="0"/>
        <w:adjustRightInd w:val="0"/>
        <w:snapToGrid w:val="0"/>
        <w:jc w:val="center"/>
        <w:textAlignment w:val="baseline"/>
        <w:rPr>
          <w:rFonts w:ascii="Arial" w:hAnsi="Arial" w:eastAsia="宋体" w:cs="Arial"/>
          <w:snapToGrid w:val="0"/>
          <w:color w:val="000000"/>
          <w:kern w:val="0"/>
          <w:szCs w:val="21"/>
        </w:rPr>
      </w:pPr>
      <w:r>
        <w:rPr>
          <w:rFonts w:ascii="Arial" w:hAnsi="Arial" w:eastAsia="Arial" w:cs="Arial"/>
          <w:snapToGrid w:val="0"/>
          <w:color w:val="000000"/>
          <w:kern w:val="0"/>
          <w:szCs w:val="21"/>
        </w:rPr>
        <w:drawing>
          <wp:inline distT="0" distB="0" distL="0" distR="0">
            <wp:extent cx="4535805" cy="27711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7" cstate="print">
                      <a:extLst>
                        <a:ext uri="{28A0092B-C50C-407E-A947-70E740481C1C}">
                          <a14:useLocalDpi xmlns:a14="http://schemas.microsoft.com/office/drawing/2010/main" val="0"/>
                        </a:ext>
                      </a:extLst>
                    </a:blip>
                    <a:srcRect t="18568"/>
                    <a:stretch>
                      <a:fillRect/>
                    </a:stretch>
                  </pic:blipFill>
                  <pic:spPr>
                    <a:xfrm>
                      <a:off x="0" y="0"/>
                      <a:ext cx="4543302" cy="2775810"/>
                    </a:xfrm>
                    <a:prstGeom prst="rect">
                      <a:avLst/>
                    </a:prstGeom>
                    <a:noFill/>
                    <a:ln>
                      <a:noFill/>
                    </a:ln>
                  </pic:spPr>
                </pic:pic>
              </a:graphicData>
            </a:graphic>
          </wp:inline>
        </w:drawing>
      </w:r>
    </w:p>
    <w:p w14:paraId="3DE79EB6">
      <w:pPr>
        <w:widowControl/>
        <w:kinsoku w:val="0"/>
        <w:autoSpaceDE w:val="0"/>
        <w:autoSpaceDN w:val="0"/>
        <w:adjustRightInd w:val="0"/>
        <w:snapToGrid w:val="0"/>
        <w:spacing w:line="560" w:lineRule="exact"/>
        <w:ind w:firstLine="568" w:firstLineChars="200"/>
        <w:jc w:val="center"/>
        <w:textAlignment w:val="baseline"/>
        <w:rPr>
          <w:rFonts w:ascii="Times New Roman" w:hAnsi="Times New Roman" w:eastAsia="仿宋" w:cs="Times New Roman"/>
          <w:snapToGrid w:val="0"/>
          <w:color w:val="000000"/>
          <w:spacing w:val="2"/>
          <w:kern w:val="0"/>
          <w:sz w:val="28"/>
          <w:szCs w:val="28"/>
        </w:rPr>
      </w:pPr>
      <w:r>
        <w:rPr>
          <w:rFonts w:hint="eastAsia" w:ascii="Times New Roman" w:hAnsi="Times New Roman" w:eastAsia="仿宋" w:cs="Times New Roman"/>
          <w:snapToGrid w:val="0"/>
          <w:color w:val="000000"/>
          <w:spacing w:val="2"/>
          <w:kern w:val="0"/>
          <w:sz w:val="28"/>
          <w:szCs w:val="28"/>
        </w:rPr>
        <w:t>厚皮甜瓜无土栽培示意图</w:t>
      </w:r>
    </w:p>
    <w:p w14:paraId="0295E651">
      <w:pPr>
        <w:adjustRightInd w:val="0"/>
        <w:snapToGrid w:val="0"/>
        <w:spacing w:line="640" w:lineRule="exact"/>
        <w:ind w:firstLine="640"/>
        <w:rPr>
          <w:rFonts w:ascii="仿宋_GB2312" w:hAnsi="Times New Roman" w:eastAsia="仿宋_GB2312"/>
          <w:color w:val="000000" w:themeColor="text1"/>
          <w:sz w:val="28"/>
          <w:szCs w:val="28"/>
          <w14:textFill>
            <w14:solidFill>
              <w14:schemeClr w14:val="tx1"/>
            </w14:solidFill>
          </w14:textFill>
        </w:rPr>
      </w:pPr>
      <w:r>
        <w:rPr>
          <w:rFonts w:ascii="Times New Roman" w:hAnsi="Times New Roman" w:eastAsia="黑体"/>
          <w:color w:val="000000" w:themeColor="text1"/>
          <w:sz w:val="32"/>
          <w:szCs w:val="32"/>
          <w14:textFill>
            <w14:solidFill>
              <w14:schemeClr w14:val="tx1"/>
            </w14:solidFill>
          </w14:textFill>
        </w:rPr>
        <w:t>三、适宜区域</w:t>
      </w:r>
      <w:r>
        <w:rPr>
          <w:rFonts w:hint="eastAsia" w:ascii="仿宋_GB2312" w:hAnsi="Times New Roman" w:eastAsia="仿宋_GB2312"/>
          <w:color w:val="000000" w:themeColor="text1"/>
          <w:sz w:val="28"/>
          <w:szCs w:val="28"/>
          <w14:textFill>
            <w14:solidFill>
              <w14:schemeClr w14:val="tx1"/>
            </w14:solidFill>
          </w14:textFill>
        </w:rPr>
        <w:t>（推广应用的主要区域）</w:t>
      </w:r>
    </w:p>
    <w:p w14:paraId="6558E931">
      <w:pPr>
        <w:widowControl/>
        <w:kinsoku w:val="0"/>
        <w:autoSpaceDE w:val="0"/>
        <w:autoSpaceDN w:val="0"/>
        <w:adjustRightInd w:val="0"/>
        <w:snapToGrid w:val="0"/>
        <w:spacing w:line="560" w:lineRule="exact"/>
        <w:ind w:firstLine="568" w:firstLineChars="200"/>
        <w:textAlignment w:val="baseline"/>
        <w:rPr>
          <w:rFonts w:ascii="仿宋" w:hAnsi="仿宋" w:eastAsia="仿宋" w:cs="仿宋"/>
          <w:snapToGrid w:val="0"/>
          <w:color w:val="000000"/>
          <w:spacing w:val="2"/>
          <w:kern w:val="0"/>
          <w:sz w:val="28"/>
          <w:szCs w:val="28"/>
        </w:rPr>
      </w:pPr>
      <w:r>
        <w:rPr>
          <w:rFonts w:hint="eastAsia" w:ascii="仿宋" w:hAnsi="仿宋" w:eastAsia="仿宋" w:cs="仿宋"/>
          <w:snapToGrid w:val="0"/>
          <w:color w:val="000000"/>
          <w:spacing w:val="2"/>
          <w:kern w:val="0"/>
          <w:sz w:val="28"/>
          <w:szCs w:val="28"/>
        </w:rPr>
        <w:t>本技术主要适于陕西省及北方地区西甜瓜设施栽培。</w:t>
      </w:r>
    </w:p>
    <w:p w14:paraId="1D5EED4F">
      <w:pPr>
        <w:adjustRightInd w:val="0"/>
        <w:snapToGrid w:val="0"/>
        <w:spacing w:line="640" w:lineRule="exact"/>
        <w:ind w:firstLine="640"/>
        <w:rPr>
          <w:rFonts w:ascii="仿宋_GB2312" w:hAnsi="Times New Roman" w:eastAsia="仿宋_GB2312"/>
          <w:color w:val="000000" w:themeColor="text1"/>
          <w:sz w:val="28"/>
          <w:szCs w:val="28"/>
          <w14:textFill>
            <w14:solidFill>
              <w14:schemeClr w14:val="tx1"/>
            </w14:solidFill>
          </w14:textFill>
        </w:rPr>
      </w:pPr>
      <w:r>
        <w:rPr>
          <w:rFonts w:ascii="Times New Roman" w:hAnsi="Times New Roman" w:eastAsia="黑体"/>
          <w:color w:val="000000" w:themeColor="text1"/>
          <w:sz w:val="32"/>
          <w:szCs w:val="32"/>
          <w14:textFill>
            <w14:solidFill>
              <w14:schemeClr w14:val="tx1"/>
            </w14:solidFill>
          </w14:textFill>
        </w:rPr>
        <w:t>四、注意事项</w:t>
      </w:r>
      <w:r>
        <w:rPr>
          <w:rFonts w:hint="eastAsia" w:ascii="仿宋_GB2312" w:hAnsi="Times New Roman" w:eastAsia="仿宋_GB2312"/>
          <w:color w:val="000000" w:themeColor="text1"/>
          <w:sz w:val="28"/>
          <w:szCs w:val="28"/>
          <w14:textFill>
            <w14:solidFill>
              <w14:schemeClr w14:val="tx1"/>
            </w14:solidFill>
          </w14:textFill>
        </w:rPr>
        <w:t>（在技术推广应用过程中需特别注意的环节）</w:t>
      </w:r>
    </w:p>
    <w:p w14:paraId="12A0242B">
      <w:pPr>
        <w:widowControl/>
        <w:kinsoku w:val="0"/>
        <w:autoSpaceDE w:val="0"/>
        <w:autoSpaceDN w:val="0"/>
        <w:adjustRightInd w:val="0"/>
        <w:snapToGrid w:val="0"/>
        <w:spacing w:line="560" w:lineRule="exact"/>
        <w:ind w:firstLine="568" w:firstLineChars="200"/>
        <w:textAlignment w:val="baseline"/>
        <w:outlineLvl w:val="0"/>
        <w:rPr>
          <w:rFonts w:ascii="仿宋" w:hAnsi="仿宋" w:eastAsia="仿宋" w:cs="Times New Roman"/>
          <w:snapToGrid w:val="0"/>
          <w:color w:val="000000"/>
          <w:spacing w:val="2"/>
          <w:kern w:val="0"/>
          <w:sz w:val="28"/>
          <w:szCs w:val="28"/>
        </w:rPr>
      </w:pPr>
      <w:r>
        <w:rPr>
          <w:rFonts w:ascii="仿宋" w:hAnsi="仿宋" w:eastAsia="仿宋" w:cs="Times New Roman"/>
          <w:snapToGrid w:val="0"/>
          <w:color w:val="000000"/>
          <w:spacing w:val="2"/>
          <w:kern w:val="0"/>
          <w:sz w:val="28"/>
          <w:szCs w:val="28"/>
        </w:rPr>
        <w:t>1.</w:t>
      </w:r>
      <w:r>
        <w:rPr>
          <w:rFonts w:hint="eastAsia" w:ascii="仿宋" w:hAnsi="仿宋" w:eastAsia="仿宋" w:cs="Times New Roman"/>
          <w:snapToGrid w:val="0"/>
          <w:color w:val="000000"/>
          <w:spacing w:val="2"/>
          <w:kern w:val="0"/>
          <w:sz w:val="28"/>
          <w:szCs w:val="28"/>
        </w:rPr>
        <w:t>抗病品种和嫁接砧木品种的选择对西甜瓜产量和品质的影响较大，要根据当地农业技术部门的推荐，选用主栽品种。</w:t>
      </w:r>
    </w:p>
    <w:p w14:paraId="24984F5A">
      <w:pPr>
        <w:widowControl/>
        <w:kinsoku w:val="0"/>
        <w:autoSpaceDE w:val="0"/>
        <w:autoSpaceDN w:val="0"/>
        <w:adjustRightInd w:val="0"/>
        <w:snapToGrid w:val="0"/>
        <w:spacing w:line="560" w:lineRule="exact"/>
        <w:ind w:firstLine="568" w:firstLineChars="200"/>
        <w:textAlignment w:val="baseline"/>
        <w:outlineLvl w:val="0"/>
        <w:rPr>
          <w:rFonts w:ascii="仿宋" w:hAnsi="仿宋" w:eastAsia="仿宋" w:cs="Times New Roman"/>
          <w:snapToGrid w:val="0"/>
          <w:color w:val="000000"/>
          <w:spacing w:val="2"/>
          <w:kern w:val="0"/>
          <w:sz w:val="28"/>
          <w:szCs w:val="28"/>
        </w:rPr>
      </w:pPr>
      <w:r>
        <w:rPr>
          <w:rFonts w:ascii="仿宋" w:hAnsi="仿宋" w:eastAsia="仿宋" w:cs="Times New Roman"/>
          <w:snapToGrid w:val="0"/>
          <w:color w:val="000000"/>
          <w:spacing w:val="2"/>
          <w:kern w:val="0"/>
          <w:sz w:val="28"/>
          <w:szCs w:val="28"/>
        </w:rPr>
        <w:t>2.</w:t>
      </w:r>
      <w:r>
        <w:rPr>
          <w:rFonts w:hint="eastAsia" w:ascii="仿宋" w:hAnsi="仿宋" w:eastAsia="仿宋" w:cs="Times New Roman"/>
          <w:snapToGrid w:val="0"/>
          <w:color w:val="000000"/>
          <w:spacing w:val="2"/>
          <w:kern w:val="0"/>
          <w:sz w:val="28"/>
          <w:szCs w:val="28"/>
        </w:rPr>
        <w:t>土壤消毒作业时，对有强烈刺激性的药剂，操作人员应做好自身防护，如佩戴护目镜、防毒面具等。</w:t>
      </w:r>
    </w:p>
    <w:p w14:paraId="4E9C10AA">
      <w:pPr>
        <w:widowControl/>
        <w:kinsoku w:val="0"/>
        <w:autoSpaceDE w:val="0"/>
        <w:autoSpaceDN w:val="0"/>
        <w:adjustRightInd w:val="0"/>
        <w:snapToGrid w:val="0"/>
        <w:spacing w:line="560" w:lineRule="exact"/>
        <w:ind w:firstLine="568" w:firstLineChars="200"/>
        <w:textAlignment w:val="baseline"/>
        <w:outlineLvl w:val="0"/>
        <w:rPr>
          <w:rFonts w:ascii="仿宋" w:hAnsi="仿宋" w:eastAsia="仿宋" w:cs="Times New Roman"/>
          <w:snapToGrid w:val="0"/>
          <w:color w:val="000000"/>
          <w:spacing w:val="2"/>
          <w:kern w:val="0"/>
          <w:sz w:val="28"/>
          <w:szCs w:val="28"/>
        </w:rPr>
      </w:pPr>
      <w:r>
        <w:rPr>
          <w:rFonts w:ascii="仿宋" w:hAnsi="仿宋" w:eastAsia="仿宋" w:cs="Times New Roman"/>
          <w:snapToGrid w:val="0"/>
          <w:color w:val="000000"/>
          <w:spacing w:val="2"/>
          <w:kern w:val="0"/>
          <w:sz w:val="28"/>
          <w:szCs w:val="28"/>
        </w:rPr>
        <w:t>3.</w:t>
      </w:r>
      <w:r>
        <w:rPr>
          <w:rFonts w:hint="eastAsia" w:ascii="仿宋" w:hAnsi="仿宋" w:eastAsia="仿宋" w:cs="Times New Roman"/>
          <w:snapToGrid w:val="0"/>
          <w:color w:val="000000"/>
          <w:spacing w:val="2"/>
          <w:kern w:val="0"/>
          <w:sz w:val="28"/>
          <w:szCs w:val="28"/>
        </w:rPr>
        <w:t>施用生物菌肥需达到一定的剂量才会对西甜瓜的健康生长起到作用，因此要根据不同的菌肥使用说明确保用量。</w:t>
      </w:r>
    </w:p>
    <w:p w14:paraId="3B168321">
      <w:pPr>
        <w:snapToGrid w:val="0"/>
        <w:spacing w:line="640" w:lineRule="exact"/>
        <w:ind w:firstLine="640" w:firstLineChars="200"/>
        <w:rPr>
          <w:rFonts w:ascii="Times New Roman" w:hAnsi="Times New Roman" w:eastAsia="黑体"/>
          <w:color w:val="000000" w:themeColor="text1"/>
          <w:sz w:val="28"/>
          <w:szCs w:val="28"/>
          <w14:textFill>
            <w14:solidFill>
              <w14:schemeClr w14:val="tx1"/>
            </w14:solidFill>
          </w14:textFill>
        </w:rPr>
      </w:pPr>
      <w:r>
        <w:rPr>
          <w:rFonts w:ascii="Times New Roman" w:hAnsi="Times New Roman" w:eastAsia="黑体"/>
          <w:color w:val="000000" w:themeColor="text1"/>
          <w:sz w:val="32"/>
          <w:szCs w:val="32"/>
          <w14:textFill>
            <w14:solidFill>
              <w14:schemeClr w14:val="tx1"/>
            </w14:solidFill>
          </w14:textFill>
        </w:rPr>
        <w:t>五、技术依托单位</w:t>
      </w:r>
      <w:bookmarkStart w:id="1" w:name="_Hlk178440578"/>
      <w:r>
        <w:rPr>
          <w:rFonts w:hint="eastAsia" w:ascii="仿宋_GB2312" w:hAnsi="Times New Roman" w:eastAsia="仿宋_GB2312"/>
          <w:color w:val="000000" w:themeColor="text1"/>
          <w:sz w:val="28"/>
          <w:szCs w:val="28"/>
          <w14:textFill>
            <w14:solidFill>
              <w14:schemeClr w14:val="tx1"/>
            </w14:solidFill>
          </w14:textFill>
        </w:rPr>
        <w:t>（必须列入参与技术推广机构）</w:t>
      </w:r>
      <w:bookmarkEnd w:id="1"/>
    </w:p>
    <w:p w14:paraId="53F0776C">
      <w:pPr>
        <w:adjustRightInd w:val="0"/>
        <w:snapToGrid w:val="0"/>
        <w:spacing w:line="640" w:lineRule="exact"/>
        <w:ind w:firstLine="560" w:firstLineChars="200"/>
        <w:rPr>
          <w:rFonts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1.单位名称</w:t>
      </w:r>
    </w:p>
    <w:p w14:paraId="2E5D427D">
      <w:pPr>
        <w:adjustRightInd w:val="0"/>
        <w:snapToGrid w:val="0"/>
        <w:spacing w:line="640" w:lineRule="exact"/>
        <w:ind w:firstLine="560" w:firstLineChars="200"/>
        <w:rPr>
          <w:rFonts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联系地址：西北农林科技大学</w:t>
      </w:r>
    </w:p>
    <w:p w14:paraId="20E25E15">
      <w:pPr>
        <w:adjustRightInd w:val="0"/>
        <w:snapToGrid w:val="0"/>
        <w:spacing w:line="640" w:lineRule="exact"/>
        <w:ind w:firstLine="560" w:firstLineChars="200"/>
        <w:rPr>
          <w:rFonts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邮政编码：712100</w:t>
      </w:r>
    </w:p>
    <w:p w14:paraId="43318DCC">
      <w:pPr>
        <w:adjustRightInd w:val="0"/>
        <w:snapToGrid w:val="0"/>
        <w:spacing w:line="640" w:lineRule="exact"/>
        <w:ind w:firstLine="560" w:firstLineChars="200"/>
        <w:rPr>
          <w:rFonts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联 系 人：马建祥</w:t>
      </w:r>
    </w:p>
    <w:p w14:paraId="21EFACBF">
      <w:pPr>
        <w:adjustRightInd w:val="0"/>
        <w:snapToGrid w:val="0"/>
        <w:spacing w:line="640" w:lineRule="exact"/>
        <w:ind w:firstLine="560" w:firstLineChars="200"/>
        <w:rPr>
          <w:rFonts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联系电话：18309236534</w:t>
      </w:r>
    </w:p>
    <w:p w14:paraId="6C6993A7">
      <w:pPr>
        <w:adjustRightInd w:val="0"/>
        <w:snapToGrid w:val="0"/>
        <w:spacing w:line="640" w:lineRule="exact"/>
        <w:ind w:firstLine="560" w:firstLineChars="200"/>
        <w:rPr>
          <w:rFonts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电子邮箱：majianxiang@126.com</w:t>
      </w:r>
    </w:p>
    <w:p w14:paraId="77341C7A">
      <w:pPr>
        <w:adjustRightInd w:val="0"/>
        <w:snapToGrid w:val="0"/>
        <w:spacing w:line="640" w:lineRule="exact"/>
        <w:ind w:firstLine="560" w:firstLineChars="200"/>
        <w:rPr>
          <w:rFonts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2.单位名称</w:t>
      </w:r>
    </w:p>
    <w:p w14:paraId="3899C679">
      <w:pPr>
        <w:adjustRightInd w:val="0"/>
        <w:snapToGrid w:val="0"/>
        <w:spacing w:line="600" w:lineRule="exact"/>
        <w:ind w:firstLine="560" w:firstLineChars="200"/>
        <w:rPr>
          <w:rFonts w:ascii="仿宋_GB2312" w:hAnsi="仿宋_GB2312" w:eastAsia="仿宋_GB2312" w:cs="仿宋_GB2312"/>
          <w:color w:val="000000"/>
          <w:sz w:val="32"/>
          <w:szCs w:val="32"/>
        </w:rPr>
      </w:pPr>
      <w:r>
        <w:rPr>
          <w:rFonts w:hint="eastAsia" w:ascii="仿宋_GB2312" w:hAnsi="Times New Roman" w:eastAsia="仿宋_GB2312"/>
          <w:color w:val="000000" w:themeColor="text1"/>
          <w:sz w:val="28"/>
          <w:szCs w:val="28"/>
          <w14:textFill>
            <w14:solidFill>
              <w14:schemeClr w14:val="tx1"/>
            </w14:solidFill>
          </w14:textFill>
        </w:rPr>
        <w:t>联系地址： 西安市农业技术推广中心</w:t>
      </w:r>
      <w:bookmarkStart w:id="2" w:name="_GoBack"/>
      <w:bookmarkEnd w:id="2"/>
    </w:p>
    <w:p w14:paraId="61935592">
      <w:pPr>
        <w:adjustRightInd w:val="0"/>
        <w:snapToGrid w:val="0"/>
        <w:spacing w:line="640" w:lineRule="exact"/>
        <w:ind w:firstLine="560" w:firstLineChars="200"/>
        <w:rPr>
          <w:rFonts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邮政编码：710000</w:t>
      </w:r>
    </w:p>
    <w:p w14:paraId="56B9013D">
      <w:pPr>
        <w:adjustRightInd w:val="0"/>
        <w:snapToGrid w:val="0"/>
        <w:spacing w:line="640" w:lineRule="exact"/>
        <w:ind w:firstLine="560" w:firstLineChars="200"/>
        <w:rPr>
          <w:rFonts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联 系 人：窦宏涛</w:t>
      </w:r>
    </w:p>
    <w:p w14:paraId="2206E3D9">
      <w:pPr>
        <w:adjustRightInd w:val="0"/>
        <w:snapToGrid w:val="0"/>
        <w:spacing w:line="640" w:lineRule="exact"/>
        <w:ind w:firstLine="560" w:firstLineChars="200"/>
        <w:rPr>
          <w:rFonts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联系电话：13227005069</w:t>
      </w:r>
    </w:p>
    <w:p w14:paraId="06F6A3C8">
      <w:pPr>
        <w:tabs>
          <w:tab w:val="left" w:pos="5349"/>
        </w:tabs>
        <w:adjustRightInd w:val="0"/>
        <w:snapToGrid w:val="0"/>
        <w:spacing w:line="640" w:lineRule="exact"/>
        <w:ind w:firstLine="560" w:firstLineChars="200"/>
        <w:rPr>
          <w:rFonts w:ascii="仿宋_GB2312" w:hAnsi="Times New Roman" w:eastAsia="仿宋_GB2312"/>
          <w:sz w:val="28"/>
          <w:szCs w:val="28"/>
        </w:rPr>
      </w:pPr>
      <w:r>
        <w:rPr>
          <w:rFonts w:hint="eastAsia" w:ascii="仿宋_GB2312" w:hAnsi="Times New Roman" w:eastAsia="仿宋_GB2312"/>
          <w:color w:val="000000" w:themeColor="text1"/>
          <w:sz w:val="28"/>
          <w:szCs w:val="28"/>
          <w14:textFill>
            <w14:solidFill>
              <w14:schemeClr w14:val="tx1"/>
            </w14:solidFill>
          </w14:textFill>
        </w:rPr>
        <w:t>电子邮箱：</w:t>
      </w:r>
      <w:r>
        <w:rPr>
          <w:rFonts w:ascii="仿宋_GB2312" w:hAnsi="Times New Roman" w:eastAsia="仿宋_GB2312"/>
          <w:sz w:val="28"/>
          <w:szCs w:val="28"/>
        </w:rPr>
        <w:t>dht100@126.com</w:t>
      </w:r>
      <w:r>
        <w:rPr>
          <w:rFonts w:ascii="仿宋_GB2312" w:hAnsi="Times New Roman" w:eastAsia="仿宋_GB2312"/>
          <w:sz w:val="28"/>
          <w:szCs w:val="28"/>
        </w:rPr>
        <w:tab/>
      </w:r>
    </w:p>
    <w:p w14:paraId="1D7AFCF3">
      <w:pPr>
        <w:tabs>
          <w:tab w:val="left" w:pos="5349"/>
        </w:tabs>
        <w:adjustRightInd w:val="0"/>
        <w:snapToGrid w:val="0"/>
        <w:spacing w:line="640" w:lineRule="exact"/>
        <w:ind w:firstLine="560" w:firstLineChars="200"/>
        <w:rPr>
          <w:rFonts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3.单位名称</w:t>
      </w:r>
      <w:r>
        <w:rPr>
          <w:rFonts w:ascii="仿宋_GB2312" w:hAnsi="Times New Roman" w:eastAsia="仿宋_GB2312"/>
          <w:color w:val="000000" w:themeColor="text1"/>
          <w:sz w:val="28"/>
          <w:szCs w:val="28"/>
          <w14:textFill>
            <w14:solidFill>
              <w14:schemeClr w14:val="tx1"/>
            </w14:solidFill>
          </w14:textFill>
        </w:rPr>
        <w:tab/>
      </w:r>
    </w:p>
    <w:p w14:paraId="1246BA8A">
      <w:pPr>
        <w:adjustRightInd w:val="0"/>
        <w:snapToGrid w:val="0"/>
        <w:spacing w:line="640" w:lineRule="exact"/>
        <w:ind w:firstLine="560" w:firstLineChars="200"/>
        <w:rPr>
          <w:rFonts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联系地址： 蒲城县设施农业发展中心</w:t>
      </w:r>
    </w:p>
    <w:p w14:paraId="3E6F05D1">
      <w:pPr>
        <w:adjustRightInd w:val="0"/>
        <w:snapToGrid w:val="0"/>
        <w:spacing w:line="640" w:lineRule="exact"/>
        <w:ind w:firstLine="560" w:firstLineChars="200"/>
        <w:rPr>
          <w:rFonts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邮政编码：715500</w:t>
      </w:r>
    </w:p>
    <w:p w14:paraId="443EF9EB">
      <w:pPr>
        <w:adjustRightInd w:val="0"/>
        <w:snapToGrid w:val="0"/>
        <w:spacing w:line="640" w:lineRule="exact"/>
        <w:ind w:firstLine="560" w:firstLineChars="200"/>
        <w:rPr>
          <w:rFonts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联 系 人：武岳</w:t>
      </w:r>
    </w:p>
    <w:p w14:paraId="3F0681CA">
      <w:pPr>
        <w:adjustRightInd w:val="0"/>
        <w:snapToGrid w:val="0"/>
        <w:spacing w:line="640" w:lineRule="exact"/>
        <w:ind w:firstLine="560" w:firstLineChars="200"/>
        <w:rPr>
          <w:rFonts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联系电话：13892310981</w:t>
      </w:r>
    </w:p>
    <w:p w14:paraId="2BBCEC7B">
      <w:pPr>
        <w:adjustRightInd w:val="0"/>
        <w:snapToGrid w:val="0"/>
        <w:spacing w:line="640" w:lineRule="exact"/>
        <w:ind w:firstLine="560" w:firstLineChars="200"/>
        <w:rPr>
          <w:rFonts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电子邮箱：27337019@qq.com</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Arial">
    <w:panose1 w:val="020B0604020202020204"/>
    <w:charset w:val="00"/>
    <w:family w:val="swiss"/>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lkMWExNTJkYjg1ZTQwNzU2NGMxNDA0ZTI0OWVhMjEifQ=="/>
  </w:docVars>
  <w:rsids>
    <w:rsidRoot w:val="23C76867"/>
    <w:rsid w:val="00316564"/>
    <w:rsid w:val="003A2A24"/>
    <w:rsid w:val="005D4512"/>
    <w:rsid w:val="007E4E45"/>
    <w:rsid w:val="00BA784A"/>
    <w:rsid w:val="00BF03FF"/>
    <w:rsid w:val="00C82942"/>
    <w:rsid w:val="00CB7F3A"/>
    <w:rsid w:val="00CF17B7"/>
    <w:rsid w:val="00D82AB7"/>
    <w:rsid w:val="00DB4259"/>
    <w:rsid w:val="00DF4E44"/>
    <w:rsid w:val="00E7604E"/>
    <w:rsid w:val="00EF1886"/>
    <w:rsid w:val="00F26AC9"/>
    <w:rsid w:val="00F27AD1"/>
    <w:rsid w:val="00F65E7C"/>
    <w:rsid w:val="00FE2A90"/>
    <w:rsid w:val="0E8E3B6F"/>
    <w:rsid w:val="116752E1"/>
    <w:rsid w:val="126B7053"/>
    <w:rsid w:val="17306175"/>
    <w:rsid w:val="197C1B46"/>
    <w:rsid w:val="1DC615E1"/>
    <w:rsid w:val="23C76867"/>
    <w:rsid w:val="26AD2B1B"/>
    <w:rsid w:val="339A10EE"/>
    <w:rsid w:val="487A531F"/>
    <w:rsid w:val="50BB598A"/>
    <w:rsid w:val="5107796B"/>
    <w:rsid w:val="66F44096"/>
    <w:rsid w:val="7073427E"/>
    <w:rsid w:val="73E831D5"/>
    <w:rsid w:val="749B0247"/>
    <w:rsid w:val="76DB0D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qFormat/>
    <w:uiPriority w:val="0"/>
    <w:rPr>
      <w:color w:val="0000FF"/>
      <w:u w:val="single"/>
    </w:rPr>
  </w:style>
  <w:style w:type="character" w:customStyle="1" w:styleId="9">
    <w:name w:val="页眉 Char"/>
    <w:basedOn w:val="7"/>
    <w:link w:val="4"/>
    <w:uiPriority w:val="0"/>
    <w:rPr>
      <w:kern w:val="2"/>
      <w:sz w:val="18"/>
      <w:szCs w:val="18"/>
    </w:rPr>
  </w:style>
  <w:style w:type="character" w:customStyle="1" w:styleId="10">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1016</Words>
  <Characters>1034</Characters>
  <Lines>21</Lines>
  <Paragraphs>6</Paragraphs>
  <TotalTime>420</TotalTime>
  <ScaleCrop>false</ScaleCrop>
  <LinksUpToDate>false</LinksUpToDate>
  <CharactersWithSpaces>1034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2024-11-11T01:05:00Z</dcterms:created>
  <dc:creator>忙里偷闲</dc:creator>
  <cp:lastModifiedBy>忙里偷闲</cp:lastModifiedBy>
  <dcterms:modified xsi:type="dcterms:W3CDTF">2025-01-02T03:18:51Z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496E1C26394249ADAA3822E92961099E_11</vt:lpwstr>
  </property>
</Properties>
</file>