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FEA90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234E8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35113F7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.香菇高质高效关键集成技术</w:t>
      </w:r>
      <w:bookmarkEnd w:id="1"/>
    </w:p>
    <w:p w14:paraId="16CF4095">
      <w:p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9B958F2"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一、技术概述</w:t>
      </w:r>
    </w:p>
    <w:p w14:paraId="5696446F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（一）技术基本情况</w:t>
      </w:r>
    </w:p>
    <w:p w14:paraId="5DCC2E5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是西北地区食用菌第一大省，香菇是陕西第一大菌类，占食用菌总量一半以上，是促进农民增收的区域性支柱产业。2019-2021年，陕西省园艺技术工作站联合陕西省微生物研究所等5个单位，筛选出6个主栽品种，选育2个新菌株，确定5个高产基质配方，优化2种高效栽培棚型，集成6项关键技术，创新5种典型推广模式，形成了陕西省香菇高质高效关键集成技术，并在全省范围内示范推广。该技术能解决陕西香菇品种老化单一、棚型不合理、基质配方不科学、产品附加值低等问题。</w:t>
      </w:r>
    </w:p>
    <w:p w14:paraId="7D1B9008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（二）技术示范推广情况</w:t>
      </w:r>
    </w:p>
    <w:p w14:paraId="2571727A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以汉中、安康、商洛等全省12个地市为主进行多点示范，三年累计有效推广142078.28万袋。</w:t>
      </w:r>
    </w:p>
    <w:p w14:paraId="0C4177A2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（三）提质增效情况</w:t>
      </w:r>
    </w:p>
    <w:p w14:paraId="46973600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1.经济效益。</w:t>
      </w:r>
      <w:r>
        <w:rPr>
          <w:rFonts w:hint="eastAsia" w:ascii="仿宋" w:hAnsi="仿宋" w:eastAsia="仿宋" w:cs="仿宋"/>
          <w:sz w:val="28"/>
          <w:szCs w:val="28"/>
        </w:rPr>
        <w:t>该技术促进了全省香菇品种的更新换代，降低了生产、运营成本，提高了菌棒的生产效率和经济效益，实现了增产增效，极大地带动了全省特别是陕南三市贫困地区的经济发展，经济效益巨大。3年累计新增产量20.52万吨，新增纯收益38.52亿元。</w:t>
      </w:r>
    </w:p>
    <w:p w14:paraId="31FF8806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2.社会效益。</w:t>
      </w:r>
      <w:r>
        <w:rPr>
          <w:rFonts w:hint="eastAsia" w:ascii="仿宋" w:hAnsi="仿宋" w:eastAsia="仿宋" w:cs="仿宋"/>
          <w:sz w:val="28"/>
          <w:szCs w:val="28"/>
        </w:rPr>
        <w:t>该技术可为贫困群众提供产前、产中、产后全方位综合服务，形成技术保企业、企业带基地、基地带贫困户/农户的推广模式，激活了农村内生动力，为留守妇女、老人创造了就业机会，提高家庭收入、生活水平和幸福感，营造了社会和谐氛围，社会效益突出。三年累计带动贫困户12万余户、38万余人，人均年收入3000元以上。</w:t>
      </w:r>
    </w:p>
    <w:p w14:paraId="331228D8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3.生态效益。</w:t>
      </w:r>
      <w:r>
        <w:rPr>
          <w:rFonts w:hint="eastAsia" w:ascii="仿宋" w:hAnsi="仿宋" w:eastAsia="仿宋" w:cs="仿宋"/>
          <w:sz w:val="28"/>
          <w:szCs w:val="28"/>
        </w:rPr>
        <w:t>该技术充分利用果木屑代替阔叶树木屑，以当地特有农林废弃物为原料研发新型栽培基质，大力推广工厂化制袋技术，积极探索香菇菌糠的“基料化”和“肥料化”研究开发，促进农林废弃物资源的高效循环利用，实现绿色循环可持续发展。</w:t>
      </w:r>
    </w:p>
    <w:p w14:paraId="5AB5B810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（四）技术获奖情况</w:t>
      </w:r>
    </w:p>
    <w:p w14:paraId="0863369A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获2019-2021年度全国农牧渔业丰收奖农业技术推广成果奖一等奖。</w:t>
      </w:r>
    </w:p>
    <w:p w14:paraId="61325DED"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二、技术要点</w:t>
      </w:r>
    </w:p>
    <w:p w14:paraId="644A3ED6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（一）选择适栽品种</w:t>
      </w:r>
    </w:p>
    <w:p w14:paraId="0F598D9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全省不同气候条件、不同栽培模式、不同市场需求，选择综合性状优良、适宜陕西栽培的9608、“安香1号”（原编号L09-2）、LB-21、L808、庆科212、215等6个食用菌主栽品种。其中，自主选育的菌株LB-21，具有显著的抗霉菌性和抗病效果；自主选育的菌株安香1号，具有产量高、品质优、大中菇比率高、菌肉致密、耐储运等特点，可在全省选择应用。</w:t>
      </w:r>
    </w:p>
    <w:p w14:paraId="799A426E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（二）选择适宜高产基质配方</w:t>
      </w:r>
    </w:p>
    <w:p w14:paraId="6EF5076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全省不同区域原料资源种类，在5种高产基质配方中选择适宜配方。配方一：苹果枝、冬枣枝、木屑基质配方，苹果枝木屑27%、冬枣枝木屑13%、栎木屑43%、麸皮15%、石膏1%、碳酸钙1%，适宜苹果、冬枣产业区域。配方二：桑枝、木屑基质配方，纯桑枝40%、木屑40%、麸皮18%、石膏1%、碳酸钙1%（30%桑树+70%栎木），适宜蚕桑产业区域。配方三：葡萄枝、木屑基质配方，葡萄枝屑20%、杂木屑60%、麦麸18%、石膏1%、碳酸钙1%，适宜葡萄产业区域。配方四：玉米秸秆、木屑基质配方，杂木屑 62%、秸秆18%、麦麸18%、石膏1%、碳酸钙 1%，适宜全省范围。配方五：木屑、棉籽壳基质配方，杂木屑51%、棉籽壳30%、麸皮14%、玉米粉3%、石膏1%、石灰1%，适宜棉花产业区域。</w:t>
      </w:r>
    </w:p>
    <w:p w14:paraId="69E3F981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（三）选择安全高效棚型结构</w:t>
      </w:r>
    </w:p>
    <w:p w14:paraId="69E7C62B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针对我省部分区域香菇生产设施大棚结构不合理、稳定性不强、保温保湿性能差、越夏容易烧袋的突出问题，可根据海拔高度、气候条件、种植规模和方式等，选择适宜棚型结构。</w:t>
      </w:r>
    </w:p>
    <w:p w14:paraId="7BAA4692">
      <w:pPr>
        <w:autoSpaceDE w:val="0"/>
        <w:adjustRightInd w:val="0"/>
        <w:snapToGrid w:val="0"/>
        <w:spacing w:line="480" w:lineRule="exact"/>
        <w:ind w:firstLine="562" w:firstLineChars="200"/>
        <w:rPr>
          <w:rStyle w:val="4"/>
          <w:rFonts w:ascii="仿宋_GB2312" w:eastAsia="仿宋_GB2312"/>
          <w:b/>
          <w:bCs/>
          <w:sz w:val="28"/>
          <w:szCs w:val="28"/>
        </w:rPr>
      </w:pPr>
      <w:r>
        <w:rPr>
          <w:rStyle w:val="4"/>
          <w:rFonts w:hint="eastAsia" w:ascii="仿宋_GB2312" w:eastAsia="仿宋_GB2312"/>
          <w:b/>
          <w:bCs/>
          <w:sz w:val="28"/>
          <w:szCs w:val="28"/>
        </w:rPr>
        <w:t>1.平顶钢架塑料大棚</w:t>
      </w:r>
    </w:p>
    <w:p w14:paraId="4E623EE8">
      <w:pPr>
        <w:autoSpaceDE w:val="0"/>
        <w:adjustRightInd w:val="0"/>
        <w:snapToGrid w:val="0"/>
        <w:spacing w:line="480" w:lineRule="exact"/>
        <w:ind w:firstLine="560" w:firstLineChars="200"/>
        <w:rPr>
          <w:rFonts w:ascii="Calibri" w:hAnsi="Calibri"/>
        </w:rPr>
      </w:pPr>
      <w:r>
        <w:rPr>
          <w:rFonts w:hint="eastAsia" w:ascii="仿宋_GB2312" w:eastAsia="仿宋_GB2312"/>
          <w:bCs/>
          <w:sz w:val="28"/>
          <w:szCs w:val="28"/>
        </w:rPr>
        <w:t>设施规格：①外棚：φ</w:t>
      </w:r>
      <w:r>
        <w:rPr>
          <w:rFonts w:hint="eastAsia" w:eastAsia="仿宋_GB2312" w:cs="Calibri"/>
          <w:bCs/>
          <w:sz w:val="28"/>
          <w:szCs w:val="28"/>
        </w:rPr>
        <w:t>100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mm</w:t>
      </w:r>
      <w:r>
        <w:rPr>
          <w:rFonts w:hint="eastAsia" w:ascii="仿宋_GB2312" w:eastAsia="仿宋_GB2312"/>
          <w:bCs/>
          <w:sz w:val="28"/>
          <w:szCs w:val="28"/>
        </w:rPr>
        <w:t>钢管立柱，地面高度</w:t>
      </w:r>
      <w:r>
        <w:rPr>
          <w:rFonts w:hint="eastAsia" w:eastAsia="仿宋_GB2312" w:cs="Calibri"/>
          <w:bCs/>
          <w:sz w:val="28"/>
          <w:szCs w:val="28"/>
        </w:rPr>
        <w:t>5.0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，间隔</w:t>
      </w:r>
      <w:r>
        <w:rPr>
          <w:rFonts w:hint="eastAsia" w:eastAsia="仿宋_GB2312" w:cs="Calibri"/>
          <w:bCs/>
          <w:sz w:val="28"/>
          <w:szCs w:val="28"/>
        </w:rPr>
        <w:t>3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栽</w:t>
      </w:r>
      <w:r>
        <w:rPr>
          <w:rFonts w:hint="eastAsia" w:eastAsia="仿宋_GB2312" w:cs="Calibri"/>
          <w:bCs/>
          <w:sz w:val="28"/>
          <w:szCs w:val="28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根立柱，距离内棚</w:t>
      </w:r>
      <w:r>
        <w:rPr>
          <w:rFonts w:hint="eastAsia" w:eastAsia="仿宋_GB2312" w:cs="Calibri"/>
          <w:bCs/>
          <w:sz w:val="28"/>
          <w:szCs w:val="28"/>
        </w:rPr>
        <w:t>50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cm</w:t>
      </w:r>
      <w:r>
        <w:rPr>
          <w:rFonts w:hint="eastAsia" w:ascii="仿宋_GB2312" w:eastAsia="仿宋_GB2312"/>
          <w:bCs/>
          <w:sz w:val="28"/>
          <w:szCs w:val="28"/>
        </w:rPr>
        <w:t>，顶层四周连接φ</w:t>
      </w:r>
      <w:r>
        <w:rPr>
          <w:rFonts w:hint="eastAsia" w:eastAsia="仿宋_GB2312" w:cs="Calibri"/>
          <w:bCs/>
          <w:sz w:val="28"/>
          <w:szCs w:val="28"/>
        </w:rPr>
        <w:t>50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mm</w:t>
      </w:r>
      <w:r>
        <w:rPr>
          <w:rFonts w:hint="eastAsia" w:ascii="仿宋_GB2312" w:eastAsia="仿宋_GB2312"/>
          <w:bCs/>
          <w:sz w:val="28"/>
          <w:szCs w:val="28"/>
        </w:rPr>
        <w:t>钢管，纵向间隔</w:t>
      </w:r>
      <w:r>
        <w:rPr>
          <w:rFonts w:hint="eastAsia" w:eastAsia="仿宋_GB2312" w:cs="Calibri"/>
          <w:bCs/>
          <w:sz w:val="28"/>
          <w:szCs w:val="28"/>
        </w:rPr>
        <w:t>3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连接φ</w:t>
      </w:r>
      <w:r>
        <w:rPr>
          <w:rFonts w:hint="eastAsia" w:eastAsia="仿宋_GB2312" w:cs="Calibri"/>
          <w:bCs/>
          <w:sz w:val="28"/>
          <w:szCs w:val="28"/>
        </w:rPr>
        <w:t>25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mm</w:t>
      </w:r>
      <w:r>
        <w:rPr>
          <w:rFonts w:hint="eastAsia" w:ascii="仿宋_GB2312" w:eastAsia="仿宋_GB2312"/>
          <w:bCs/>
          <w:sz w:val="28"/>
          <w:szCs w:val="28"/>
        </w:rPr>
        <w:t>钢管，横向间隔</w:t>
      </w:r>
      <w:r>
        <w:rPr>
          <w:rFonts w:hint="eastAsia" w:eastAsia="仿宋_GB2312" w:cs="Calibri"/>
          <w:bCs/>
          <w:sz w:val="28"/>
          <w:szCs w:val="28"/>
        </w:rPr>
        <w:t>3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连接φ</w:t>
      </w:r>
      <w:r>
        <w:rPr>
          <w:rFonts w:hint="eastAsia" w:eastAsia="仿宋_GB2312" w:cs="Calibri"/>
          <w:bCs/>
          <w:sz w:val="28"/>
          <w:szCs w:val="28"/>
        </w:rPr>
        <w:t>5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mm</w:t>
      </w:r>
      <w:r>
        <w:rPr>
          <w:rFonts w:hint="eastAsia" w:ascii="仿宋_GB2312" w:eastAsia="仿宋_GB2312"/>
          <w:bCs/>
          <w:sz w:val="28"/>
          <w:szCs w:val="28"/>
        </w:rPr>
        <w:t>钢丝，上搭</w:t>
      </w:r>
      <w:r>
        <w:rPr>
          <w:rFonts w:hint="eastAsia" w:eastAsia="仿宋_GB2312" w:cs="Calibri"/>
          <w:bCs/>
          <w:sz w:val="28"/>
          <w:szCs w:val="28"/>
        </w:rPr>
        <w:t>6</w:t>
      </w:r>
      <w:r>
        <w:rPr>
          <w:rFonts w:hint="eastAsia" w:ascii="仿宋_GB2312" w:eastAsia="仿宋_GB2312"/>
          <w:bCs/>
          <w:sz w:val="28"/>
          <w:szCs w:val="28"/>
        </w:rPr>
        <w:t>针加密遮阳网并固定。②内棚：棚长</w:t>
      </w:r>
      <w:r>
        <w:rPr>
          <w:rFonts w:hint="eastAsia" w:eastAsia="仿宋_GB2312" w:cs="Calibri"/>
          <w:bCs/>
          <w:sz w:val="28"/>
          <w:szCs w:val="28"/>
        </w:rPr>
        <w:t>25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，宽</w:t>
      </w:r>
      <w:r>
        <w:rPr>
          <w:rFonts w:hint="eastAsia" w:eastAsia="仿宋_GB2312" w:cs="Calibri"/>
          <w:bCs/>
          <w:sz w:val="28"/>
          <w:szCs w:val="28"/>
        </w:rPr>
        <w:t>8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，中心高度</w:t>
      </w:r>
      <w:r>
        <w:rPr>
          <w:rFonts w:hint="eastAsia" w:eastAsia="仿宋_GB2312" w:cs="Calibri"/>
          <w:bCs/>
          <w:sz w:val="28"/>
          <w:szCs w:val="28"/>
        </w:rPr>
        <w:t>3.8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，两侧垂直边高</w:t>
      </w:r>
      <w:r>
        <w:rPr>
          <w:rFonts w:hint="eastAsia" w:eastAsia="仿宋_GB2312" w:cs="Calibri"/>
          <w:bCs/>
          <w:sz w:val="28"/>
          <w:szCs w:val="28"/>
        </w:rPr>
        <w:t>2.3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，内棚棚顶盖农膜或利得膜。③出菇架：单架高度</w:t>
      </w:r>
      <w:r>
        <w:rPr>
          <w:rFonts w:hint="eastAsia" w:eastAsia="仿宋_GB2312" w:cs="Calibri"/>
          <w:bCs/>
          <w:sz w:val="28"/>
          <w:szCs w:val="28"/>
        </w:rPr>
        <w:t>1.80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，宽</w:t>
      </w:r>
      <w:r>
        <w:rPr>
          <w:rFonts w:hint="eastAsia" w:eastAsia="仿宋_GB2312" w:cs="Calibri"/>
          <w:bCs/>
          <w:sz w:val="28"/>
          <w:szCs w:val="28"/>
        </w:rPr>
        <w:t>0.45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，每层高度</w:t>
      </w:r>
      <w:r>
        <w:rPr>
          <w:rFonts w:hint="eastAsia" w:eastAsia="仿宋_GB2312" w:cs="Calibri"/>
          <w:bCs/>
          <w:sz w:val="28"/>
          <w:szCs w:val="28"/>
        </w:rPr>
        <w:t>0.26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，连顶层共</w:t>
      </w:r>
      <w:r>
        <w:rPr>
          <w:rFonts w:hint="eastAsia" w:eastAsia="仿宋_GB2312" w:cs="Calibri"/>
          <w:bCs/>
          <w:sz w:val="28"/>
          <w:szCs w:val="28"/>
        </w:rPr>
        <w:t>7</w:t>
      </w:r>
      <w:r>
        <w:rPr>
          <w:rFonts w:hint="eastAsia" w:ascii="仿宋_GB2312" w:eastAsia="仿宋_GB2312"/>
          <w:bCs/>
          <w:sz w:val="28"/>
          <w:szCs w:val="28"/>
        </w:rPr>
        <w:t>层，最下层离地面</w:t>
      </w:r>
      <w:r>
        <w:rPr>
          <w:rFonts w:hint="eastAsia" w:eastAsia="仿宋_GB2312" w:cs="Calibri"/>
          <w:bCs/>
          <w:sz w:val="28"/>
          <w:szCs w:val="28"/>
        </w:rPr>
        <w:t>0.20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。使用φ</w:t>
      </w:r>
      <w:r>
        <w:rPr>
          <w:rFonts w:hint="eastAsia" w:eastAsia="仿宋_GB2312" w:cs="Calibri"/>
          <w:bCs/>
          <w:sz w:val="28"/>
          <w:szCs w:val="28"/>
        </w:rPr>
        <w:t>25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mm</w:t>
      </w:r>
      <w:r>
        <w:rPr>
          <w:rFonts w:hint="eastAsia" w:ascii="仿宋_GB2312" w:eastAsia="仿宋_GB2312"/>
          <w:bCs/>
          <w:sz w:val="28"/>
          <w:szCs w:val="28"/>
        </w:rPr>
        <w:t>的包塑管。内棚摆放</w:t>
      </w:r>
      <w:r>
        <w:rPr>
          <w:rFonts w:hint="eastAsia" w:eastAsia="仿宋_GB2312" w:cs="Calibri"/>
          <w:bCs/>
          <w:sz w:val="28"/>
          <w:szCs w:val="28"/>
        </w:rPr>
        <w:t>2</w:t>
      </w:r>
      <w:r>
        <w:rPr>
          <w:rFonts w:hint="eastAsia" w:ascii="仿宋_GB2312" w:eastAsia="仿宋_GB2312"/>
          <w:bCs/>
          <w:sz w:val="28"/>
          <w:szCs w:val="28"/>
        </w:rPr>
        <w:t>个单架一组的共用架</w:t>
      </w:r>
      <w:r>
        <w:rPr>
          <w:rFonts w:hint="eastAsia" w:eastAsia="仿宋_GB2312" w:cs="Calibri"/>
          <w:bCs/>
          <w:sz w:val="28"/>
          <w:szCs w:val="28"/>
        </w:rPr>
        <w:t>4</w:t>
      </w:r>
      <w:r>
        <w:rPr>
          <w:rFonts w:hint="eastAsia" w:ascii="仿宋_GB2312" w:eastAsia="仿宋_GB2312"/>
          <w:bCs/>
          <w:sz w:val="28"/>
          <w:szCs w:val="28"/>
        </w:rPr>
        <w:t>组，</w:t>
      </w:r>
      <w:r>
        <w:rPr>
          <w:rFonts w:hint="eastAsia" w:eastAsia="仿宋_GB2312" w:cs="Calibri"/>
          <w:bCs/>
          <w:sz w:val="28"/>
          <w:szCs w:val="28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个走道，中心位置横向和纵向大走道宽</w:t>
      </w:r>
      <w:r>
        <w:rPr>
          <w:rFonts w:hint="eastAsia" w:eastAsia="仿宋_GB2312" w:cs="Calibri"/>
          <w:bCs/>
          <w:sz w:val="28"/>
          <w:szCs w:val="28"/>
        </w:rPr>
        <w:t>1.20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，其他</w:t>
      </w:r>
      <w:r>
        <w:rPr>
          <w:rFonts w:hint="eastAsia" w:eastAsia="仿宋_GB2312" w:cs="Calibri"/>
          <w:bCs/>
          <w:sz w:val="28"/>
          <w:szCs w:val="28"/>
        </w:rPr>
        <w:t>4</w:t>
      </w:r>
      <w:r>
        <w:rPr>
          <w:rFonts w:hint="eastAsia" w:ascii="仿宋_GB2312" w:eastAsia="仿宋_GB2312"/>
          <w:bCs/>
          <w:sz w:val="28"/>
          <w:szCs w:val="28"/>
        </w:rPr>
        <w:t>个走道宽</w:t>
      </w:r>
      <w:r>
        <w:rPr>
          <w:rFonts w:hint="eastAsia" w:eastAsia="仿宋_GB2312" w:cs="Calibri"/>
          <w:bCs/>
          <w:sz w:val="28"/>
          <w:szCs w:val="28"/>
        </w:rPr>
        <w:t>0.80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。棚纵向两侧各预留空间</w:t>
      </w:r>
      <w:r>
        <w:rPr>
          <w:rFonts w:hint="eastAsia" w:eastAsia="仿宋_GB2312" w:cs="Calibri"/>
          <w:bCs/>
          <w:sz w:val="28"/>
          <w:szCs w:val="28"/>
        </w:rPr>
        <w:t>1.50</w:t>
      </w:r>
      <w:r>
        <w:rPr>
          <w:rFonts w:eastAsia="仿宋_GB2312" w:cs="Calibri"/>
          <w:bCs/>
          <w:sz w:val="28"/>
          <w:szCs w:val="28"/>
        </w:rPr>
        <w:t xml:space="preserve"> </w:t>
      </w:r>
      <w:r>
        <w:rPr>
          <w:rFonts w:hint="eastAsia" w:eastAsia="仿宋_GB2312" w:cs="Calibri"/>
          <w:bCs/>
          <w:sz w:val="28"/>
          <w:szCs w:val="28"/>
        </w:rPr>
        <w:t>m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 w14:paraId="2A142B77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/>
        </w:rPr>
      </w:pPr>
      <w:r>
        <w:rPr>
          <w:rStyle w:val="4"/>
          <w:rFonts w:hint="eastAsia" w:ascii="仿宋_GB2312" w:eastAsia="仿宋_GB2312"/>
          <w:sz w:val="28"/>
          <w:szCs w:val="28"/>
        </w:rPr>
        <w:t>适宜区域：海拔600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m以下区域中小规模香菇层架式栽培。</w:t>
      </w:r>
    </w:p>
    <w:p w14:paraId="62D43E42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设施特点：</w:t>
      </w:r>
      <w:r>
        <w:rPr>
          <w:rFonts w:ascii="仿宋_GB2312" w:eastAsia="仿宋_GB2312"/>
          <w:bCs/>
          <w:sz w:val="28"/>
          <w:szCs w:val="28"/>
        </w:rPr>
        <w:t>由遮阳外棚、拱形内棚和出菇架组成，</w:t>
      </w:r>
      <w:r>
        <w:rPr>
          <w:rStyle w:val="4"/>
          <w:rFonts w:hint="eastAsia" w:ascii="仿宋_GB2312" w:eastAsia="仿宋_GB2312"/>
          <w:sz w:val="28"/>
          <w:szCs w:val="28"/>
        </w:rPr>
        <w:t>采用全镀锌钢架，结构稳定，使用寿命延长；从棚体、棚肩高度和外棚垂直间距等方面优化了棚型结构，设施利用率提升35%以上，降低了菌袋养菌、转色、上架期间因高温造成的烧菌风险，提高了香菇生产的安全性。</w:t>
      </w:r>
    </w:p>
    <w:p w14:paraId="3FBFC689">
      <w:pPr>
        <w:autoSpaceDE w:val="0"/>
        <w:adjustRightInd w:val="0"/>
        <w:snapToGrid w:val="0"/>
        <w:spacing w:line="480" w:lineRule="exact"/>
        <w:ind w:firstLine="562" w:firstLineChars="200"/>
        <w:rPr>
          <w:rStyle w:val="4"/>
          <w:rFonts w:ascii="仿宋_GB2312"/>
          <w:b/>
          <w:bCs/>
        </w:rPr>
      </w:pPr>
      <w:r>
        <w:rPr>
          <w:rStyle w:val="4"/>
          <w:rFonts w:hint="eastAsia" w:ascii="仿宋_GB2312" w:eastAsia="仿宋_GB2312"/>
          <w:b/>
          <w:bCs/>
          <w:sz w:val="28"/>
          <w:szCs w:val="28"/>
        </w:rPr>
        <w:t>2.双拱钢架塑料大棚</w:t>
      </w:r>
    </w:p>
    <w:p w14:paraId="3B304E69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设施规格：①出菇设施构造：出菇棚搭建总长度28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m、宽度10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m、南北走向，外棚脊高5.0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m，肩高4.0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m，外棚双拱间距1.0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m，双层遮阳，两侧用卷膜器控制升降，冬季收起顶部遮阳网避免积雪。内棚中心高度2.8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m，肩高1.8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m，宽度9.0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m，棚顶搭盖绿白利得膜或10丝厚蓝绿色无滴膜，薄膜可卷起到棚体顶部中央。②出菇棚内构造及规格：单架高度1.80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m，宽0.45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m，每层高度0.26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m，连顶层共7层，最下层离地面0.20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m。使用φ25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mm的包塑管。内棚摆放2个单架一组的共用架4组，5个走道，中心位置横向和纵向大走道1.50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m，其他4个走道1.0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m。棚纵向两端各预留空间1.50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m。</w:t>
      </w:r>
    </w:p>
    <w:p w14:paraId="473CE76A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适宜区域：海拔600</w:t>
      </w:r>
      <w:r>
        <w:rPr>
          <w:rStyle w:val="4"/>
          <w:rFonts w:ascii="仿宋_GB2312" w:eastAsia="仿宋_GB2312"/>
          <w:sz w:val="28"/>
          <w:szCs w:val="28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>m以上区域及关中、陕北等地。</w:t>
      </w:r>
    </w:p>
    <w:p w14:paraId="06869C1D">
      <w:pPr>
        <w:autoSpaceDE w:val="0"/>
        <w:adjustRightInd w:val="0"/>
        <w:snapToGrid w:val="0"/>
        <w:spacing w:line="480" w:lineRule="exact"/>
        <w:ind w:firstLine="560" w:firstLineChars="200"/>
        <w:rPr>
          <w:rStyle w:val="4"/>
          <w:rFonts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设施特点：由双层拱形外棚、内棚和出菇架组成，采用双拱镀锌钢架，从出菇设施、棚内构造进行了优化，增强了保温抗风抗压能力。</w:t>
      </w:r>
    </w:p>
    <w:p w14:paraId="24C37453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（四）高质高效栽培集成技术</w:t>
      </w:r>
    </w:p>
    <w:p w14:paraId="795268F8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集成组装了三段式控温发菌、工厂化菌袋生产、立体层架式栽培、免割袋膜技术、环境智能调控、病虫害绿色防控6项香菇栽培核心配套技术。</w:t>
      </w:r>
    </w:p>
    <w:p w14:paraId="6991E39C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1.三段式控温发菌技术。</w:t>
      </w:r>
      <w:r>
        <w:rPr>
          <w:rFonts w:hint="eastAsia" w:ascii="仿宋" w:hAnsi="仿宋" w:eastAsia="仿宋" w:cs="仿宋"/>
          <w:sz w:val="28"/>
          <w:szCs w:val="28"/>
        </w:rPr>
        <w:t>该技术采用木条原种，选取阔叶树段并将其裁切成长80-140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mm，宽5-8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mm，高8-12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mm的立方体木条；将立方体木条放入1%的石灰水中浸泡24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h。原种为木屑和一次性筷子制作的木条混合，接种量：20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g+1根一次性筷子制作的木条种；原种培养基各组分的质量百分比为：一次性筷子50%，颗粒度为2-6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mm木屑39%、麦麸10%、白糖0.5%、石膏粉0.5%。选取萌发性良好的木条原种生产香菇栽培种，然后将香菇栽培种放置24-26℃培养室内培养15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d；逐渐加大通风量并将温度降至20-22℃至菌丝满袋；将温度降低至18-20℃继续培养5-10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d。分别缩短原种、栽培种培养时间30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d与7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d，齐化菌种菌龄、显著减少瘤状物。</w:t>
      </w:r>
    </w:p>
    <w:p w14:paraId="1CD5B8B5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2.工厂化菌袋生产技术。</w:t>
      </w:r>
      <w:r>
        <w:rPr>
          <w:rFonts w:hint="eastAsia" w:ascii="仿宋" w:hAnsi="仿宋" w:eastAsia="仿宋" w:cs="仿宋"/>
          <w:sz w:val="28"/>
          <w:szCs w:val="28"/>
        </w:rPr>
        <w:t>该技术采用分料生产线拌料、装扎一体机制袋、高效节能大容量灭菌、流水线接种，2套6方搅拌分料生产线、10台装扎一体机、10套菌棒查验传送线，5台90立方灭菌柜、2台2吨环保节能锅炉，日生产可达5万袋，袋均成本为2.5-3.5元。提高菌袋生产效率9-15倍，降低成本0.3-0.5元，控制污染率在3‰以下。</w:t>
      </w:r>
    </w:p>
    <w:p w14:paraId="4E1BB3D9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3.立体层架式栽培技术。</w:t>
      </w:r>
      <w:r>
        <w:rPr>
          <w:rFonts w:hint="eastAsia" w:ascii="仿宋" w:hAnsi="仿宋" w:eastAsia="仿宋" w:cs="仿宋"/>
          <w:sz w:val="28"/>
          <w:szCs w:val="28"/>
        </w:rPr>
        <w:t>该技术可充分利用栽培空间，每亩地可增加菌袋摆放数量7000-10000袋，较地面斜靠式、单层覆土栽培节约生产面积130%-500%，产值增加5-6万元/亩，大大提高了土地利用率和单位面积产量，单位面积经济效益显著提升。</w:t>
      </w:r>
    </w:p>
    <w:p w14:paraId="17CF593C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4.免割袋膜技术。</w:t>
      </w:r>
      <w:r>
        <w:rPr>
          <w:rFonts w:hint="eastAsia" w:ascii="仿宋" w:hAnsi="仿宋" w:eastAsia="仿宋" w:cs="仿宋"/>
          <w:sz w:val="28"/>
          <w:szCs w:val="28"/>
        </w:rPr>
        <w:t>该技术在香菇栽培袋内增加1层免割保水膜袋，操作方法：选用免割保水膜袋小于聚乙烯塑料栽培外袋0.5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cm，装袋时，先将免割袋套至装袋机料筒长3/5处，后套外袋至筒底；推料时，压在料筒的手压在外袋，不得压着内袋；为确保双袋栽培培养料的通气性，选用木屑要粗细搭配，粗粒(直径2-3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mm)占60%；香菇菌丝布满菌袋后先割去香菇筒袋外袋两端袋头并撑开拉直，以排解夹层积水，控制菌袋霉烂，但不能割破内袋。菌袋排在菇架上培养，看到有菇蕾的菌袋先脱去外筒袋，保留免割保水膜袋。可省去割袋出菇的操作工序，减少注水次数，降低劳动强度。</w:t>
      </w:r>
    </w:p>
    <w:p w14:paraId="089F1EA1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5.环境智能调控技术。</w:t>
      </w:r>
      <w:r>
        <w:rPr>
          <w:rFonts w:hint="eastAsia" w:ascii="仿宋" w:hAnsi="仿宋" w:eastAsia="仿宋" w:cs="仿宋"/>
          <w:sz w:val="28"/>
          <w:szCs w:val="28"/>
        </w:rPr>
        <w:t>该技术具体操作方法为用菌丝体生长期的最适水分含量（55%-60%）拌料，使菌丝体在最适水分条件下生长；栽培菌袋菌丝发满至出菇管理前，用针头插入栽培袋并与滴灌带和水源连接；将水注入栽培袋，通过低压、慢渗给栽培袋补水；补水量为1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kg，分2-3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d每天2次共4-6次补水达到补水量，使栽培袋中的水分含量达到出菇期最佳水分含量（68%）。其他管理按常规出菇管理方法。可缩短香菇出菇期10-15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d，提高产量50%。</w:t>
      </w:r>
    </w:p>
    <w:p w14:paraId="5B66B312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6.病虫害绿色防控技术。</w:t>
      </w:r>
      <w:r>
        <w:rPr>
          <w:rFonts w:hint="eastAsia" w:ascii="仿宋" w:hAnsi="仿宋" w:eastAsia="仿宋" w:cs="仿宋"/>
          <w:sz w:val="28"/>
          <w:szCs w:val="28"/>
        </w:rPr>
        <w:t>该技术预防为主、综合治理，将防虫网、黄板在棚室建造时统筹计划，统一安装，夏季高温季节太阳能高温处理，在香菇生长期选用高效、低毒、低残留农药，形成抗病品种、物理、生物、化学等措施配套的技术体系。可有效降低病虫害发生率，显著提高质量安全水平。</w:t>
      </w:r>
    </w:p>
    <w:p w14:paraId="0DF0964E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（五）香菇产品加工技术</w:t>
      </w:r>
    </w:p>
    <w:p w14:paraId="61C2DCD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香菇酱产品配方：以菇肉100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g(香菇丁75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g+乌鸡肉丁25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g)作为标准，预处理后，制酱原料用量分别为菜籽油60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g、豆豉60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g、花生仁60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g、核桃仁20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g、辣椒6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g、花椒3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g、白砂糖4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g、食用盐1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g、味精0.5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g、黑芝麻5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g、柠檬酸0.1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g、山梨酸钾0.1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g。</w:t>
      </w:r>
    </w:p>
    <w:p w14:paraId="0BA002C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工艺流程：原料采购—菌柄挑拣—清洗—腌渍—切丁—油炸—配料—炒酱—灌装—杀菌—贴标喷码—装箱—检验—入库。</w:t>
      </w:r>
    </w:p>
    <w:p w14:paraId="14971C68">
      <w:pPr>
        <w:spacing w:line="4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（六）融合推广模式</w:t>
      </w:r>
    </w:p>
    <w:p w14:paraId="04297749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1.“百万袋循环生产”模式。</w:t>
      </w:r>
      <w:r>
        <w:rPr>
          <w:rFonts w:hint="eastAsia" w:ascii="仿宋" w:hAnsi="仿宋" w:eastAsia="仿宋" w:cs="仿宋"/>
          <w:sz w:val="28"/>
          <w:szCs w:val="28"/>
        </w:rPr>
        <w:t>依托一条专业化菌包生产线，采取“工厂化菌包生产+农户分散出菇管理”的方式组织生产，实行“七统一分”，即合作社或企业统一原料采购、统一优良菌种、统一菌包制作、统一接种、统一技术指导、统一技术标准、统一产品回收，农户分散出菇管理。</w:t>
      </w:r>
    </w:p>
    <w:p w14:paraId="45D1D328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2.“食用菌小镇”模式。</w:t>
      </w:r>
      <w:r>
        <w:rPr>
          <w:rFonts w:hint="eastAsia" w:ascii="仿宋" w:hAnsi="仿宋" w:eastAsia="仿宋" w:cs="仿宋"/>
          <w:sz w:val="28"/>
          <w:szCs w:val="28"/>
        </w:rPr>
        <w:t>由龙头企业园区为承载，统一规划建设标准化大棚，制作成品菌袋，贫困户租借大棚、购买菌袋，分派专人技术员指导日常技术管理；贫困户采摘的香菇，由公司统一按市场价格收购、销售。</w:t>
      </w:r>
    </w:p>
    <w:p w14:paraId="1D9E82BF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3.“网链发展”模式。</w:t>
      </w:r>
      <w:r>
        <w:rPr>
          <w:rFonts w:hint="eastAsia" w:ascii="仿宋" w:hAnsi="仿宋" w:eastAsia="仿宋" w:cs="仿宋"/>
          <w:sz w:val="28"/>
          <w:szCs w:val="28"/>
        </w:rPr>
        <w:t>围绕香菇产业调整品种结构、优化产业布局，构建产业网；以农技推广部门为技术支撑，提供远程技术服务，构建服务网；开展科技服务体系创新，聘请知名专家作为科技顾问，创新服务链；政府为龙头企业、扶贫社搭建平台，利用连锁超市供应链优势，构建销售网。</w:t>
      </w:r>
    </w:p>
    <w:p w14:paraId="650A8B5D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4.“菌果废弃物循环利用”模式。</w:t>
      </w:r>
      <w:r>
        <w:rPr>
          <w:rFonts w:hint="eastAsia" w:ascii="仿宋" w:hAnsi="仿宋" w:eastAsia="仿宋" w:cs="仿宋"/>
          <w:sz w:val="28"/>
          <w:szCs w:val="28"/>
        </w:rPr>
        <w:t>将废弃菌棒加工成有机肥，然后将有机肥供应到苹果主产区，通过物物交换或购买的方式，将主产区苹果树枝条粉碎加工作为香菇生产基质原料。</w:t>
      </w:r>
    </w:p>
    <w:p w14:paraId="60914E8B">
      <w:pPr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5.“4+2联合”推广模式。</w:t>
      </w:r>
      <w:r>
        <w:rPr>
          <w:rFonts w:hint="eastAsia" w:ascii="仿宋" w:hAnsi="仿宋" w:eastAsia="仿宋" w:cs="仿宋"/>
          <w:sz w:val="28"/>
          <w:szCs w:val="28"/>
        </w:rPr>
        <w:t>即省市县乡四级农技推广体系与省食用菌产业技术体系、食用菌科技特派团两个技术组织联合开展技术服务与指导。</w:t>
      </w:r>
    </w:p>
    <w:p w14:paraId="417F0995"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三、适宜区域</w:t>
      </w:r>
    </w:p>
    <w:p w14:paraId="419F5FD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陕西全省。</w:t>
      </w:r>
    </w:p>
    <w:p w14:paraId="1A2D66BF"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 w14:paraId="5ACB6F79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1.注意品种的选择。根据不同气候条件、不同栽培模式，选择适宜品种。</w:t>
      </w:r>
    </w:p>
    <w:p w14:paraId="498056B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2.注意基质配方的选择。根据不同区域原料资源种类选择适宜基质配方。</w:t>
      </w:r>
    </w:p>
    <w:p w14:paraId="5B8C6C12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3.注意棚型结构的选择。根据海拔高度、气候条件、种植规模和方式等选择适宜棚型结构。</w:t>
      </w:r>
    </w:p>
    <w:p w14:paraId="351ADF75">
      <w:pPr>
        <w:spacing w:line="4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五、技术依托单位</w:t>
      </w:r>
    </w:p>
    <w:p w14:paraId="62FB5B13"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</w:t>
      </w:r>
      <w:bookmarkStart w:id="0" w:name="_Hlk157763917"/>
      <w:r>
        <w:rPr>
          <w:rFonts w:hint="eastAsia" w:ascii="仿宋" w:hAnsi="仿宋" w:eastAsia="仿宋" w:cs="仿宋"/>
          <w:b/>
          <w:bCs/>
          <w:sz w:val="28"/>
          <w:szCs w:val="28"/>
        </w:rPr>
        <w:t>陕西省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园艺技术工作站</w:t>
      </w:r>
    </w:p>
    <w:p w14:paraId="5FE1E45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联系地址：陕西省西安市习武园27号</w:t>
      </w:r>
    </w:p>
    <w:p w14:paraId="78026BF2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邮政编码：710003</w:t>
      </w:r>
    </w:p>
    <w:p w14:paraId="0FF40A8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人：张伟兵</w:t>
      </w:r>
    </w:p>
    <w:p w14:paraId="20453211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联系电话：13186158500</w:t>
      </w:r>
    </w:p>
    <w:p w14:paraId="199E792A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电子邮箱：shucai200972@163.com</w:t>
      </w:r>
    </w:p>
    <w:p w14:paraId="6F9B0291"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（2）陕西省微生物研究所</w:t>
      </w:r>
    </w:p>
    <w:p w14:paraId="28BE6B5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联系地址：陕西省西安市雁塔区西影路76号</w:t>
      </w:r>
    </w:p>
    <w:p w14:paraId="2C299DD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邮政编码：710000</w:t>
      </w:r>
    </w:p>
    <w:p w14:paraId="5398E66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人：雷萍</w:t>
      </w:r>
    </w:p>
    <w:p w14:paraId="2BCC823F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联系电话：15029085618</w:t>
      </w:r>
    </w:p>
    <w:p w14:paraId="5FAD698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电子邮箱：282405197@qq.com</w:t>
      </w:r>
    </w:p>
    <w:p w14:paraId="1AB63431"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（3）商洛市农业科学研究所</w:t>
      </w:r>
    </w:p>
    <w:p w14:paraId="5AFCEE9A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联系地址：陕西省商洛市商州区大赵屿王巷370号</w:t>
      </w:r>
    </w:p>
    <w:p w14:paraId="345A69A1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邮政编码：726000</w:t>
      </w:r>
    </w:p>
    <w:p w14:paraId="0B931D9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人：王玲</w:t>
      </w:r>
    </w:p>
    <w:p w14:paraId="25E38E2A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联系电话：18991560510</w:t>
      </w:r>
    </w:p>
    <w:p w14:paraId="25D1A658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电子邮箱：W808h@163.com</w:t>
      </w:r>
    </w:p>
    <w:p w14:paraId="34B66A32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2E6F8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C7484"/>
    <w:rsid w:val="079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2025-01-02T03:34:00Z</dcterms:created>
  <dc:creator>忙里偷闲</dc:creator>
  <cp:lastModifiedBy>忙里偷闲</cp:lastModifiedBy>
  <dcterms:modified xsi:type="dcterms:W3CDTF">2025-01-02T03:36:26Z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7F6EDC2991804E3FA0A2E477F7B7801B_11</vt:lpwstr>
  </property>
</Properties>
</file>