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CFC9A2">
      <w:pPr>
        <w:jc w:val="center"/>
        <w:rPr>
          <w:rFonts w:hint="eastAsia" w:ascii="方正小标宋简体" w:hAnsi="方正小标宋简体" w:eastAsia="方正小标宋简体" w:cs="方正小标宋简体"/>
          <w:sz w:val="36"/>
          <w:szCs w:val="36"/>
          <w:lang w:val="en-US" w:eastAsia="zh-CN"/>
        </w:rPr>
      </w:pPr>
      <w:bookmarkStart w:id="0" w:name="_GoBack"/>
      <w:bookmarkEnd w:id="0"/>
    </w:p>
    <w:p w14:paraId="5B47AAB3">
      <w:pPr>
        <w:jc w:val="center"/>
        <w:rPr>
          <w:rFonts w:ascii="仿宋_GB2312" w:hAnsi="仿宋_GB2312" w:eastAsia="仿宋_GB2312" w:cs="仿宋_GB2312"/>
          <w:b/>
          <w:bCs/>
          <w:sz w:val="32"/>
          <w:szCs w:val="32"/>
        </w:rPr>
      </w:pPr>
      <w:r>
        <w:rPr>
          <w:rFonts w:hint="eastAsia" w:ascii="方正小标宋简体" w:hAnsi="方正小标宋简体" w:eastAsia="方正小标宋简体" w:cs="方正小标宋简体"/>
          <w:sz w:val="36"/>
          <w:szCs w:val="36"/>
          <w:lang w:val="en-US" w:eastAsia="zh-CN"/>
        </w:rPr>
        <w:t>10.</w:t>
      </w:r>
      <w:r>
        <w:rPr>
          <w:rFonts w:hint="eastAsia" w:ascii="方正小标宋简体" w:hAnsi="方正小标宋简体" w:eastAsia="方正小标宋简体" w:cs="方正小标宋简体"/>
          <w:sz w:val="36"/>
          <w:szCs w:val="36"/>
        </w:rPr>
        <w:t>十字花科作物根肿病绿色综合防治技术</w:t>
      </w:r>
    </w:p>
    <w:p w14:paraId="2E3B59F2">
      <w:pPr>
        <w:spacing w:line="560" w:lineRule="exact"/>
        <w:ind w:firstLine="560" w:firstLineChars="200"/>
        <w:rPr>
          <w:rFonts w:hint="eastAsia" w:ascii="黑体" w:hAnsi="黑体" w:eastAsia="黑体" w:cs="黑体"/>
          <w:sz w:val="28"/>
          <w:szCs w:val="28"/>
        </w:rPr>
      </w:pPr>
    </w:p>
    <w:p w14:paraId="0291274A">
      <w:pPr>
        <w:spacing w:line="560" w:lineRule="exact"/>
        <w:ind w:firstLine="560" w:firstLineChars="200"/>
        <w:rPr>
          <w:rFonts w:ascii="黑体" w:hAnsi="黑体" w:eastAsia="黑体" w:cs="黑体"/>
          <w:sz w:val="32"/>
          <w:szCs w:val="32"/>
        </w:rPr>
      </w:pPr>
      <w:r>
        <w:rPr>
          <w:rFonts w:hint="eastAsia" w:ascii="黑体" w:hAnsi="黑体" w:eastAsia="黑体" w:cs="黑体"/>
          <w:sz w:val="28"/>
          <w:szCs w:val="28"/>
        </w:rPr>
        <w:t>一、</w:t>
      </w:r>
      <w:r>
        <w:rPr>
          <w:rFonts w:hint="eastAsia" w:ascii="黑体" w:hAnsi="黑体" w:eastAsia="黑体" w:cs="黑体"/>
          <w:sz w:val="32"/>
          <w:szCs w:val="32"/>
        </w:rPr>
        <w:t>技术概述</w:t>
      </w:r>
    </w:p>
    <w:p w14:paraId="7E63C51A">
      <w:pPr>
        <w:snapToGrid w:val="0"/>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（一）基本情况</w:t>
      </w:r>
    </w:p>
    <w:p w14:paraId="2CFF441B">
      <w:pPr>
        <w:snapToGrid w:val="0"/>
        <w:spacing w:line="560" w:lineRule="exact"/>
        <w:ind w:firstLine="643" w:firstLineChars="200"/>
        <w:rPr>
          <w:rFonts w:ascii="仿宋_GB2312" w:hAnsi="仿宋_GB2312" w:eastAsia="仿宋_GB2312" w:cs="仿宋_GB2312"/>
          <w:b/>
          <w:bCs/>
          <w:sz w:val="32"/>
          <w:szCs w:val="32"/>
          <w:lang w:bidi="ar"/>
        </w:rPr>
      </w:pPr>
      <w:r>
        <w:rPr>
          <w:rFonts w:hint="eastAsia" w:ascii="仿宋_GB2312" w:hAnsi="仿宋_GB2312" w:eastAsia="仿宋_GB2312" w:cs="仿宋_GB2312"/>
          <w:b/>
          <w:bCs/>
          <w:sz w:val="32"/>
          <w:szCs w:val="32"/>
          <w:lang w:bidi="ar"/>
        </w:rPr>
        <w:t>1、研发推广背景</w:t>
      </w:r>
    </w:p>
    <w:p w14:paraId="652F94F7">
      <w:pPr>
        <w:snapToGrid w:val="0"/>
        <w:spacing w:line="560" w:lineRule="exact"/>
        <w:ind w:firstLine="560" w:firstLineChars="200"/>
        <w:rPr>
          <w:rFonts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根肿病是由根肿菌属芸薹根肿菌（</w:t>
      </w:r>
      <w:r>
        <w:rPr>
          <w:rFonts w:hint="eastAsia" w:ascii="仿宋_GB2312" w:hAnsi="仿宋_GB2312" w:eastAsia="仿宋_GB2312" w:cs="仿宋_GB2312"/>
          <w:i/>
          <w:sz w:val="28"/>
          <w:szCs w:val="28"/>
          <w:lang w:bidi="ar"/>
        </w:rPr>
        <w:t xml:space="preserve">Plasmodiophora brassicae </w:t>
      </w:r>
      <w:r>
        <w:rPr>
          <w:rFonts w:hint="eastAsia" w:ascii="仿宋_GB2312" w:hAnsi="仿宋_GB2312" w:eastAsia="仿宋_GB2312" w:cs="仿宋_GB2312"/>
          <w:sz w:val="28"/>
          <w:szCs w:val="28"/>
          <w:lang w:bidi="ar"/>
        </w:rPr>
        <w:t>Woron.）侵染植物根部，形成肿瘤的真菌性病害，是当前世界范围内十字花科作物的重要土传病害。病菌休眠孢子抗逆性极强，在酸性土壤中可以存活12年以上。</w:t>
      </w:r>
      <w:r>
        <w:rPr>
          <w:rFonts w:hint="eastAsia" w:ascii="仿宋_GB2312" w:hAnsi="仿宋_GB2312" w:eastAsia="仿宋_GB2312" w:cs="仿宋_GB2312"/>
          <w:color w:val="333333"/>
          <w:sz w:val="28"/>
          <w:szCs w:val="28"/>
          <w:shd w:val="clear" w:color="auto" w:fill="FFFFFF"/>
        </w:rPr>
        <w:t>发病初期植株生长缓慢、矮小，下部叶片常在中午萎蔫、早晚恢复，后期基部叶片变黄、枯萎，有时整株枯死；病株根部出现肿瘤是此病最明显的特征</w:t>
      </w:r>
      <w:r>
        <w:rPr>
          <w:rFonts w:hint="eastAsia" w:ascii="仿宋_GB2312" w:hAnsi="仿宋_GB2312" w:eastAsia="仿宋_GB2312" w:cs="仿宋_GB2312"/>
          <w:color w:val="333333"/>
          <w:sz w:val="28"/>
          <w:szCs w:val="28"/>
          <w:shd w:val="clear" w:color="auto" w:fill="FFFFFF"/>
          <w:lang w:val="en-US" w:eastAsia="zh-CN"/>
        </w:rPr>
        <w:t>；</w:t>
      </w:r>
      <w:r>
        <w:rPr>
          <w:rFonts w:hint="eastAsia" w:ascii="仿宋_GB2312" w:hAnsi="仿宋_GB2312" w:eastAsia="仿宋_GB2312" w:cs="仿宋_GB2312"/>
          <w:color w:val="333333"/>
          <w:sz w:val="28"/>
          <w:szCs w:val="28"/>
          <w:shd w:val="clear" w:color="auto" w:fill="FFFFFF"/>
        </w:rPr>
        <w:t>感病愈早，症状愈重</w:t>
      </w:r>
      <w:r>
        <w:rPr>
          <w:rFonts w:hint="eastAsia" w:ascii="仿宋_GB2312" w:hAnsi="仿宋_GB2312" w:eastAsia="仿宋_GB2312" w:cs="仿宋_GB2312"/>
          <w:sz w:val="28"/>
          <w:szCs w:val="28"/>
          <w:lang w:bidi="ar"/>
        </w:rPr>
        <w:t>。该病在我国南方和东北地区十字花科作物产区发生严重，发病田块平均产量损失达30%-40%，严重田块直接产量损失达60%-70%，甚至毁苗绝产。太白县自2009年发现根肿病后，病害迅速蔓延，曾经成为制约蔬菜产业的发展的主要障碍因素；近年来，推广十字花科蔬菜根肿病</w:t>
      </w:r>
      <w:r>
        <w:rPr>
          <w:rFonts w:hint="eastAsia" w:ascii="仿宋_GB2312" w:hAnsi="仿宋_GB2312" w:eastAsia="仿宋_GB2312" w:cs="仿宋_GB2312"/>
          <w:sz w:val="28"/>
          <w:szCs w:val="28"/>
          <w:lang w:eastAsia="zh-CN" w:bidi="ar"/>
        </w:rPr>
        <w:t>（</w:t>
      </w:r>
      <w:r>
        <w:rPr>
          <w:rFonts w:hint="eastAsia" w:ascii="仿宋_GB2312" w:hAnsi="仿宋_GB2312" w:eastAsia="仿宋_GB2312" w:cs="仿宋_GB2312"/>
          <w:sz w:val="28"/>
          <w:szCs w:val="28"/>
          <w:lang w:bidi="ar"/>
        </w:rPr>
        <w:t>“</w:t>
      </w:r>
      <w:r>
        <w:rPr>
          <w:rFonts w:hint="eastAsia" w:ascii="仿宋_GB2312" w:hAnsi="仿宋_GB2312" w:eastAsia="仿宋_GB2312" w:cs="仿宋_GB2312"/>
          <w:sz w:val="28"/>
          <w:szCs w:val="28"/>
          <w:lang w:val="en-US" w:eastAsia="zh-CN" w:bidi="ar"/>
        </w:rPr>
        <w:t>育、</w:t>
      </w:r>
      <w:r>
        <w:rPr>
          <w:rFonts w:hint="eastAsia" w:ascii="仿宋_GB2312" w:hAnsi="仿宋_GB2312" w:eastAsia="仿宋_GB2312" w:cs="仿宋_GB2312"/>
          <w:sz w:val="28"/>
          <w:szCs w:val="28"/>
          <w:lang w:bidi="ar"/>
        </w:rPr>
        <w:t>轮、种、</w:t>
      </w:r>
      <w:r>
        <w:rPr>
          <w:rFonts w:hint="eastAsia" w:ascii="仿宋_GB2312" w:hAnsi="仿宋_GB2312" w:eastAsia="仿宋_GB2312" w:cs="仿宋_GB2312"/>
          <w:sz w:val="28"/>
          <w:szCs w:val="28"/>
          <w:lang w:val="en-US" w:eastAsia="zh-CN" w:bidi="ar"/>
        </w:rPr>
        <w:t>苗</w:t>
      </w:r>
      <w:r>
        <w:rPr>
          <w:rFonts w:hint="eastAsia" w:ascii="仿宋_GB2312" w:hAnsi="仿宋_GB2312" w:eastAsia="仿宋_GB2312" w:cs="仿宋_GB2312"/>
          <w:sz w:val="28"/>
          <w:szCs w:val="28"/>
          <w:lang w:bidi="ar"/>
        </w:rPr>
        <w:t>、土、肥、管、防”</w:t>
      </w:r>
      <w:r>
        <w:rPr>
          <w:rFonts w:hint="eastAsia" w:ascii="仿宋_GB2312" w:hAnsi="仿宋_GB2312" w:eastAsia="仿宋_GB2312" w:cs="仿宋_GB2312"/>
          <w:sz w:val="28"/>
          <w:szCs w:val="28"/>
          <w:lang w:eastAsia="zh-CN" w:bidi="ar"/>
        </w:rPr>
        <w:t>）</w:t>
      </w:r>
      <w:r>
        <w:rPr>
          <w:rFonts w:hint="eastAsia" w:ascii="仿宋_GB2312" w:hAnsi="仿宋_GB2312" w:eastAsia="仿宋_GB2312" w:cs="仿宋_GB2312"/>
          <w:sz w:val="28"/>
          <w:szCs w:val="28"/>
          <w:lang w:bidi="ar"/>
        </w:rPr>
        <w:t>绿色综合防治技术，根肿病发生得到有效遏制，保障了蔬菜产业持续发展。</w:t>
      </w:r>
    </w:p>
    <w:p w14:paraId="6C0C0D1F">
      <w:pPr>
        <w:snapToGrid w:val="0"/>
        <w:spacing w:line="560" w:lineRule="exact"/>
        <w:jc w:val="center"/>
        <w:rPr>
          <w:rFonts w:ascii="仿宋_GB2312" w:hAnsi="仿宋_GB2312" w:eastAsia="仿宋_GB2312" w:cs="仿宋_GB2312"/>
          <w:b/>
          <w:bCs/>
          <w:sz w:val="28"/>
          <w:szCs w:val="28"/>
          <w:lang w:bidi="ar"/>
        </w:rPr>
      </w:pPr>
      <w:r>
        <w:rPr>
          <w:b/>
          <w:bCs/>
          <w:position w:val="-108"/>
        </w:rPr>
        <w:drawing>
          <wp:anchor distT="0" distB="0" distL="0" distR="0" simplePos="0" relativeHeight="251659264" behindDoc="0" locked="0" layoutInCell="1" allowOverlap="1">
            <wp:simplePos x="0" y="0"/>
            <wp:positionH relativeFrom="column">
              <wp:posOffset>222250</wp:posOffset>
            </wp:positionH>
            <wp:positionV relativeFrom="paragraph">
              <wp:posOffset>38735</wp:posOffset>
            </wp:positionV>
            <wp:extent cx="5031105" cy="3068955"/>
            <wp:effectExtent l="0" t="0" r="17145" b="17145"/>
            <wp:wrapSquare wrapText="bothSides"/>
            <wp:docPr id="3" name="IM 2"/>
            <wp:cNvGraphicFramePr/>
            <a:graphic xmlns:a="http://schemas.openxmlformats.org/drawingml/2006/main">
              <a:graphicData uri="http://schemas.openxmlformats.org/drawingml/2006/picture">
                <pic:pic xmlns:pic="http://schemas.openxmlformats.org/drawingml/2006/picture">
                  <pic:nvPicPr>
                    <pic:cNvPr id="3" name="IM 2"/>
                    <pic:cNvPicPr/>
                  </pic:nvPicPr>
                  <pic:blipFill>
                    <a:blip r:embed="rId4"/>
                    <a:stretch>
                      <a:fillRect/>
                    </a:stretch>
                  </pic:blipFill>
                  <pic:spPr>
                    <a:xfrm>
                      <a:off x="0" y="0"/>
                      <a:ext cx="5031105" cy="3068955"/>
                    </a:xfrm>
                    <a:prstGeom prst="rect">
                      <a:avLst/>
                    </a:prstGeom>
                  </pic:spPr>
                </pic:pic>
              </a:graphicData>
            </a:graphic>
          </wp:anchor>
        </w:drawing>
      </w:r>
      <w:r>
        <w:rPr>
          <w:rFonts w:hint="eastAsia" w:ascii="仿宋_GB2312" w:hAnsi="仿宋_GB2312" w:eastAsia="仿宋_GB2312" w:cs="仿宋_GB2312"/>
          <w:b/>
          <w:bCs/>
          <w:sz w:val="28"/>
          <w:szCs w:val="28"/>
          <w:lang w:bidi="ar"/>
        </w:rPr>
        <w:t>照片1：6种十字花科蔬菜根肿病危害症状</w:t>
      </w:r>
    </w:p>
    <w:p w14:paraId="5634964D">
      <w:pPr>
        <w:snapToGrid w:val="0"/>
        <w:spacing w:line="560" w:lineRule="exact"/>
        <w:ind w:firstLine="482" w:firstLineChars="200"/>
        <w:jc w:val="left"/>
        <w:rPr>
          <w:rFonts w:ascii="仿宋_GB2312" w:hAnsi="仿宋_GB2312" w:eastAsia="仿宋_GB2312" w:cs="仿宋_GB2312"/>
          <w:b/>
          <w:bCs/>
          <w:sz w:val="24"/>
          <w:szCs w:val="24"/>
          <w:lang w:bidi="ar"/>
        </w:rPr>
      </w:pPr>
      <w:r>
        <w:rPr>
          <w:rFonts w:hint="eastAsia" w:ascii="仿宋_GB2312" w:hAnsi="仿宋_GB2312" w:eastAsia="仿宋_GB2312" w:cs="仿宋_GB2312"/>
          <w:b/>
          <w:bCs/>
          <w:sz w:val="24"/>
          <w:szCs w:val="24"/>
          <w:lang w:bidi="ar"/>
        </w:rPr>
        <w:t>照片说明：</w:t>
      </w:r>
      <w:r>
        <w:rPr>
          <w:rFonts w:hint="eastAsia" w:ascii="仿宋_GB2312" w:hAnsi="仿宋_GB2312" w:eastAsia="仿宋_GB2312" w:cs="仿宋_GB2312"/>
          <w:sz w:val="24"/>
          <w:szCs w:val="24"/>
          <w:lang w:bidi="ar"/>
        </w:rPr>
        <w:t>根肿病在十字花科蔬菜作物上均有发生，以大白菜、娃娃菜</w:t>
      </w:r>
      <w:r>
        <w:rPr>
          <w:rFonts w:hint="eastAsia" w:ascii="仿宋_GB2312" w:hAnsi="仿宋_GB2312" w:eastAsia="仿宋_GB2312" w:cs="仿宋_GB2312"/>
          <w:sz w:val="24"/>
          <w:szCs w:val="24"/>
          <w:lang w:eastAsia="zh-CN" w:bidi="ar"/>
        </w:rPr>
        <w:t>、</w:t>
      </w:r>
      <w:r>
        <w:rPr>
          <w:rFonts w:hint="eastAsia" w:ascii="仿宋_GB2312" w:hAnsi="仿宋_GB2312" w:eastAsia="仿宋_GB2312" w:cs="仿宋_GB2312"/>
          <w:sz w:val="24"/>
          <w:szCs w:val="24"/>
          <w:lang w:bidi="ar"/>
        </w:rPr>
        <w:t>甘蓝发病最为严重，在开盘末期即能出现地上部症状，严重田块在苗期即会表现出叶片萎蔫和根部肿瘤；花椰菜、青花菜次之，萝卜上发病较轻。</w:t>
      </w:r>
    </w:p>
    <w:p w14:paraId="22A831BE">
      <w:pPr>
        <w:numPr>
          <w:ilvl w:val="0"/>
          <w:numId w:val="1"/>
        </w:numPr>
        <w:snapToGrid w:val="0"/>
        <w:spacing w:line="560" w:lineRule="exact"/>
        <w:ind w:firstLine="643" w:firstLineChars="200"/>
        <w:rPr>
          <w:rFonts w:ascii="仿宋_GB2312" w:hAnsi="仿宋_GB2312" w:eastAsia="仿宋_GB2312" w:cs="仿宋_GB2312"/>
          <w:b/>
          <w:bCs/>
          <w:sz w:val="32"/>
          <w:szCs w:val="32"/>
          <w:lang w:bidi="ar"/>
        </w:rPr>
      </w:pPr>
      <w:r>
        <w:rPr>
          <w:rFonts w:hint="eastAsia" w:ascii="仿宋_GB2312" w:hAnsi="仿宋_GB2312" w:eastAsia="仿宋_GB2312" w:cs="仿宋_GB2312"/>
          <w:b/>
          <w:bCs/>
          <w:sz w:val="32"/>
          <w:szCs w:val="32"/>
          <w:lang w:bidi="ar"/>
        </w:rPr>
        <w:t>技术要点及解决的主要问题</w:t>
      </w:r>
    </w:p>
    <w:p w14:paraId="6CC401E5">
      <w:pPr>
        <w:snapToGrid w:val="0"/>
        <w:spacing w:line="560" w:lineRule="exact"/>
        <w:ind w:firstLine="560" w:firstLineChars="200"/>
        <w:rPr>
          <w:rFonts w:ascii="黑体" w:hAnsi="黑体" w:eastAsia="黑体" w:cs="黑体"/>
          <w:sz w:val="28"/>
          <w:szCs w:val="28"/>
        </w:rPr>
      </w:pPr>
      <w:r>
        <w:rPr>
          <w:rFonts w:hint="eastAsia" w:ascii="仿宋_GB2312" w:hAnsi="仿宋_GB2312" w:eastAsia="仿宋_GB2312" w:cs="仿宋_GB2312"/>
          <w:sz w:val="28"/>
          <w:szCs w:val="28"/>
          <w:lang w:bidi="ar"/>
        </w:rPr>
        <w:t>太白县农业技术推广服务中心</w:t>
      </w:r>
      <w:r>
        <w:rPr>
          <w:rFonts w:hint="eastAsia" w:ascii="仿宋_GB2312" w:hAnsi="仿宋_GB2312" w:eastAsia="仿宋_GB2312" w:cs="仿宋_GB2312"/>
          <w:sz w:val="28"/>
          <w:szCs w:val="28"/>
          <w:lang w:val="en-US" w:eastAsia="zh-CN" w:bidi="ar"/>
        </w:rPr>
        <w:t>和国家大宗</w:t>
      </w:r>
      <w:r>
        <w:rPr>
          <w:rFonts w:hint="eastAsia" w:ascii="仿宋_GB2312" w:hAnsi="仿宋_GB2312" w:eastAsia="仿宋_GB2312" w:cs="仿宋_GB2312"/>
          <w:sz w:val="28"/>
          <w:szCs w:val="28"/>
          <w:lang w:bidi="ar"/>
        </w:rPr>
        <w:t>蔬菜试验示范</w:t>
      </w:r>
      <w:r>
        <w:rPr>
          <w:rFonts w:hint="eastAsia" w:ascii="仿宋_GB2312" w:hAnsi="仿宋_GB2312" w:eastAsia="仿宋_GB2312" w:cs="仿宋_GB2312"/>
          <w:sz w:val="28"/>
          <w:szCs w:val="28"/>
          <w:lang w:eastAsia="zh-CN" w:bidi="ar"/>
        </w:rPr>
        <w:t>（</w:t>
      </w:r>
      <w:r>
        <w:rPr>
          <w:rFonts w:hint="eastAsia" w:ascii="仿宋_GB2312" w:hAnsi="仿宋_GB2312" w:eastAsia="仿宋_GB2312" w:cs="仿宋_GB2312"/>
          <w:sz w:val="28"/>
          <w:szCs w:val="28"/>
          <w:lang w:val="en-US" w:eastAsia="zh-CN" w:bidi="ar"/>
        </w:rPr>
        <w:t>西安</w:t>
      </w:r>
      <w:r>
        <w:rPr>
          <w:rFonts w:hint="eastAsia" w:ascii="仿宋_GB2312" w:hAnsi="仿宋_GB2312" w:eastAsia="仿宋_GB2312" w:cs="仿宋_GB2312"/>
          <w:sz w:val="28"/>
          <w:szCs w:val="28"/>
          <w:lang w:eastAsia="zh-CN" w:bidi="ar"/>
        </w:rPr>
        <w:t>）</w:t>
      </w:r>
      <w:r>
        <w:rPr>
          <w:rFonts w:hint="eastAsia" w:ascii="仿宋_GB2312" w:hAnsi="仿宋_GB2312" w:eastAsia="仿宋_GB2312" w:cs="仿宋_GB2312"/>
          <w:sz w:val="28"/>
          <w:szCs w:val="28"/>
          <w:lang w:bidi="ar"/>
        </w:rPr>
        <w:t>站，在生产调查的基础上，通过开展轮作倒茬、选用抗病品种、培育无菌壮苗、补钙调酸、增施有机肥和药剂防治等试验、示范，总结集成的“</w:t>
      </w:r>
      <w:r>
        <w:rPr>
          <w:rFonts w:hint="eastAsia" w:ascii="仿宋_GB2312" w:hAnsi="仿宋_GB2312" w:eastAsia="仿宋_GB2312" w:cs="仿宋_GB2312"/>
          <w:sz w:val="28"/>
          <w:szCs w:val="28"/>
          <w:lang w:val="en-US" w:eastAsia="zh-CN" w:bidi="ar"/>
        </w:rPr>
        <w:t>育、</w:t>
      </w:r>
      <w:r>
        <w:rPr>
          <w:rFonts w:hint="eastAsia" w:ascii="仿宋_GB2312" w:hAnsi="仿宋_GB2312" w:eastAsia="仿宋_GB2312" w:cs="仿宋_GB2312"/>
          <w:sz w:val="28"/>
          <w:szCs w:val="28"/>
          <w:lang w:bidi="ar"/>
        </w:rPr>
        <w:t>轮、种、</w:t>
      </w:r>
      <w:r>
        <w:rPr>
          <w:rFonts w:hint="eastAsia" w:ascii="仿宋_GB2312" w:hAnsi="仿宋_GB2312" w:eastAsia="仿宋_GB2312" w:cs="仿宋_GB2312"/>
          <w:sz w:val="28"/>
          <w:szCs w:val="28"/>
          <w:lang w:val="en-US" w:eastAsia="zh-CN" w:bidi="ar"/>
        </w:rPr>
        <w:t>苗</w:t>
      </w:r>
      <w:r>
        <w:rPr>
          <w:rFonts w:hint="eastAsia" w:ascii="仿宋_GB2312" w:hAnsi="仿宋_GB2312" w:eastAsia="仿宋_GB2312" w:cs="仿宋_GB2312"/>
          <w:sz w:val="28"/>
          <w:szCs w:val="28"/>
          <w:lang w:bidi="ar"/>
        </w:rPr>
        <w:t>、土、肥、管、防”等</w:t>
      </w:r>
      <w:r>
        <w:rPr>
          <w:rFonts w:hint="eastAsia" w:ascii="仿宋_GB2312" w:hAnsi="仿宋_GB2312" w:eastAsia="仿宋_GB2312" w:cs="仿宋_GB2312"/>
          <w:sz w:val="28"/>
          <w:szCs w:val="28"/>
          <w:lang w:val="en-US" w:eastAsia="zh-CN" w:bidi="ar"/>
        </w:rPr>
        <w:t>8</w:t>
      </w:r>
      <w:r>
        <w:rPr>
          <w:rFonts w:hint="eastAsia" w:ascii="仿宋_GB2312" w:hAnsi="仿宋_GB2312" w:eastAsia="仿宋_GB2312" w:cs="仿宋_GB2312"/>
          <w:sz w:val="28"/>
          <w:szCs w:val="28"/>
          <w:lang w:bidi="ar"/>
        </w:rPr>
        <w:t>个环节的十字花科蔬菜根肿病绿色综合防治技术。通过在秦巴地区蔬菜根肿病疫区示范推广，防效可达87%以上，防治成本可降低52%。可有效控制根肿病的危害和蔓延，达到减药省工、增效控害、绿色环保的目标。</w:t>
      </w:r>
    </w:p>
    <w:p w14:paraId="22D1F076">
      <w:pPr>
        <w:numPr>
          <w:ilvl w:val="0"/>
          <w:numId w:val="2"/>
        </w:numPr>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推广应用情况</w:t>
      </w:r>
    </w:p>
    <w:p w14:paraId="59F20287">
      <w:pPr>
        <w:pStyle w:val="6"/>
        <w:spacing w:before="47" w:line="560" w:lineRule="exact"/>
        <w:ind w:right="23" w:firstLine="560" w:firstLineChars="200"/>
        <w:rPr>
          <w:rFonts w:ascii="仿宋_GB2312" w:hAnsi="仿宋_GB2312" w:eastAsia="仿宋_GB2312" w:cs="仿宋_GB2312"/>
          <w:b/>
          <w:bCs/>
          <w:sz w:val="28"/>
          <w:szCs w:val="28"/>
          <w:lang w:eastAsia="zh-CN"/>
        </w:rPr>
      </w:pPr>
      <w:r>
        <w:rPr>
          <w:rFonts w:hint="eastAsia" w:ascii="仿宋_GB2312" w:hAnsi="仿宋_GB2312" w:eastAsia="仿宋_GB2312" w:cs="仿宋_GB2312"/>
          <w:sz w:val="28"/>
          <w:szCs w:val="28"/>
          <w:lang w:eastAsia="zh-CN" w:bidi="ar"/>
        </w:rPr>
        <w:t>该技术在累计推广应用</w:t>
      </w:r>
      <w:r>
        <w:rPr>
          <w:rFonts w:ascii="Times New Roman" w:hAnsi="Times New Roman" w:eastAsia="Times New Roman" w:cs="Times New Roman"/>
          <w:spacing w:val="4"/>
          <w:sz w:val="28"/>
          <w:szCs w:val="28"/>
          <w:lang w:eastAsia="zh-CN"/>
        </w:rPr>
        <w:t>127.53</w:t>
      </w:r>
      <w:r>
        <w:rPr>
          <w:spacing w:val="4"/>
          <w:sz w:val="28"/>
          <w:szCs w:val="28"/>
          <w:lang w:eastAsia="zh-CN"/>
        </w:rPr>
        <w:t>万亩，平均亩产蔬菜</w:t>
      </w:r>
      <w:r>
        <w:rPr>
          <w:rFonts w:ascii="Times New Roman" w:hAnsi="Times New Roman" w:eastAsia="Times New Roman" w:cs="Times New Roman"/>
          <w:spacing w:val="-8"/>
          <w:sz w:val="28"/>
          <w:szCs w:val="28"/>
          <w:lang w:eastAsia="zh-CN"/>
        </w:rPr>
        <w:t>3932.7kg</w:t>
      </w:r>
      <w:r>
        <w:rPr>
          <w:spacing w:val="-8"/>
          <w:sz w:val="28"/>
          <w:szCs w:val="28"/>
          <w:lang w:eastAsia="zh-CN"/>
        </w:rPr>
        <w:t>，比对照亩增产</w:t>
      </w:r>
      <w:r>
        <w:rPr>
          <w:spacing w:val="-38"/>
          <w:sz w:val="28"/>
          <w:szCs w:val="28"/>
          <w:lang w:eastAsia="zh-CN"/>
        </w:rPr>
        <w:t xml:space="preserve"> </w:t>
      </w:r>
      <w:r>
        <w:rPr>
          <w:rFonts w:ascii="Times New Roman" w:hAnsi="Times New Roman" w:eastAsia="Times New Roman" w:cs="Times New Roman"/>
          <w:spacing w:val="-8"/>
          <w:sz w:val="28"/>
          <w:szCs w:val="28"/>
          <w:lang w:eastAsia="zh-CN"/>
        </w:rPr>
        <w:t>1917.4kg</w:t>
      </w:r>
      <w:r>
        <w:rPr>
          <w:spacing w:val="-8"/>
          <w:sz w:val="28"/>
          <w:szCs w:val="28"/>
          <w:lang w:eastAsia="zh-CN"/>
        </w:rPr>
        <w:t>，增产率</w:t>
      </w:r>
      <w:r>
        <w:rPr>
          <w:spacing w:val="-59"/>
          <w:sz w:val="28"/>
          <w:szCs w:val="28"/>
          <w:lang w:eastAsia="zh-CN"/>
        </w:rPr>
        <w:t xml:space="preserve"> </w:t>
      </w:r>
      <w:r>
        <w:rPr>
          <w:rFonts w:ascii="Times New Roman" w:hAnsi="Times New Roman" w:eastAsia="Times New Roman" w:cs="Times New Roman"/>
          <w:spacing w:val="-8"/>
          <w:sz w:val="28"/>
          <w:szCs w:val="28"/>
          <w:lang w:eastAsia="zh-CN"/>
        </w:rPr>
        <w:t>95.1%</w:t>
      </w:r>
      <w:r>
        <w:rPr>
          <w:spacing w:val="-8"/>
          <w:sz w:val="28"/>
          <w:szCs w:val="28"/>
          <w:lang w:eastAsia="zh-CN"/>
        </w:rPr>
        <w:t>。总增产</w:t>
      </w:r>
      <w:r>
        <w:rPr>
          <w:spacing w:val="-9"/>
          <w:sz w:val="28"/>
          <w:szCs w:val="28"/>
          <w:lang w:eastAsia="zh-CN"/>
        </w:rPr>
        <w:t>蔬菜</w:t>
      </w:r>
      <w:r>
        <w:rPr>
          <w:spacing w:val="-65"/>
          <w:sz w:val="28"/>
          <w:szCs w:val="28"/>
          <w:lang w:eastAsia="zh-CN"/>
        </w:rPr>
        <w:t xml:space="preserve"> </w:t>
      </w:r>
      <w:r>
        <w:rPr>
          <w:rFonts w:ascii="Times New Roman" w:hAnsi="Times New Roman" w:eastAsia="Times New Roman" w:cs="Times New Roman"/>
          <w:spacing w:val="-9"/>
          <w:sz w:val="28"/>
          <w:szCs w:val="28"/>
          <w:lang w:eastAsia="zh-CN"/>
        </w:rPr>
        <w:t>220.1</w:t>
      </w:r>
      <w:r>
        <w:rPr>
          <w:spacing w:val="-9"/>
          <w:sz w:val="28"/>
          <w:szCs w:val="28"/>
          <w:lang w:eastAsia="zh-CN"/>
        </w:rPr>
        <w:t>万吨，</w:t>
      </w:r>
      <w:r>
        <w:rPr>
          <w:sz w:val="28"/>
          <w:szCs w:val="28"/>
          <w:lang w:eastAsia="zh-CN"/>
        </w:rPr>
        <w:t xml:space="preserve"> </w:t>
      </w:r>
      <w:r>
        <w:rPr>
          <w:spacing w:val="-8"/>
          <w:sz w:val="28"/>
          <w:szCs w:val="28"/>
          <w:lang w:eastAsia="zh-CN"/>
        </w:rPr>
        <w:t>亩新增纯收益</w:t>
      </w:r>
      <w:r>
        <w:rPr>
          <w:spacing w:val="-38"/>
          <w:sz w:val="28"/>
          <w:szCs w:val="28"/>
          <w:lang w:eastAsia="zh-CN"/>
        </w:rPr>
        <w:t xml:space="preserve"> </w:t>
      </w:r>
      <w:r>
        <w:rPr>
          <w:rFonts w:ascii="Times New Roman" w:hAnsi="Times New Roman" w:eastAsia="Times New Roman" w:cs="Times New Roman"/>
          <w:spacing w:val="-8"/>
          <w:sz w:val="28"/>
          <w:szCs w:val="28"/>
          <w:lang w:eastAsia="zh-CN"/>
        </w:rPr>
        <w:t>1771.3</w:t>
      </w:r>
      <w:r>
        <w:rPr>
          <w:rFonts w:ascii="Times New Roman" w:hAnsi="Times New Roman" w:eastAsia="Times New Roman" w:cs="Times New Roman"/>
          <w:spacing w:val="19"/>
          <w:sz w:val="28"/>
          <w:szCs w:val="28"/>
          <w:lang w:eastAsia="zh-CN"/>
        </w:rPr>
        <w:t xml:space="preserve"> </w:t>
      </w:r>
      <w:r>
        <w:rPr>
          <w:spacing w:val="-8"/>
          <w:sz w:val="28"/>
          <w:szCs w:val="28"/>
          <w:lang w:eastAsia="zh-CN"/>
        </w:rPr>
        <w:t>元，总经济效益</w:t>
      </w:r>
      <w:r>
        <w:rPr>
          <w:spacing w:val="-37"/>
          <w:sz w:val="28"/>
          <w:szCs w:val="28"/>
          <w:lang w:eastAsia="zh-CN"/>
        </w:rPr>
        <w:t xml:space="preserve"> </w:t>
      </w:r>
      <w:r>
        <w:rPr>
          <w:rFonts w:ascii="Times New Roman" w:hAnsi="Times New Roman" w:eastAsia="Times New Roman" w:cs="Times New Roman"/>
          <w:spacing w:val="-8"/>
          <w:sz w:val="28"/>
          <w:szCs w:val="28"/>
          <w:lang w:eastAsia="zh-CN"/>
        </w:rPr>
        <w:t>141598.2</w:t>
      </w:r>
      <w:r>
        <w:rPr>
          <w:rFonts w:ascii="Times New Roman" w:hAnsi="Times New Roman" w:eastAsia="Times New Roman" w:cs="Times New Roman"/>
          <w:spacing w:val="24"/>
          <w:sz w:val="28"/>
          <w:szCs w:val="28"/>
          <w:lang w:eastAsia="zh-CN"/>
        </w:rPr>
        <w:t xml:space="preserve"> </w:t>
      </w:r>
      <w:r>
        <w:rPr>
          <w:spacing w:val="-9"/>
          <w:sz w:val="28"/>
          <w:szCs w:val="28"/>
          <w:lang w:eastAsia="zh-CN"/>
        </w:rPr>
        <w:t>万元，</w:t>
      </w:r>
      <w:r>
        <w:rPr>
          <w:spacing w:val="-71"/>
          <w:sz w:val="28"/>
          <w:szCs w:val="28"/>
          <w:lang w:eastAsia="zh-CN"/>
        </w:rPr>
        <w:t xml:space="preserve"> </w:t>
      </w:r>
      <w:r>
        <w:rPr>
          <w:spacing w:val="-9"/>
          <w:sz w:val="28"/>
          <w:szCs w:val="28"/>
          <w:lang w:eastAsia="zh-CN"/>
        </w:rPr>
        <w:t>推广投资年均纯收益</w:t>
      </w:r>
      <w:r>
        <w:rPr>
          <w:spacing w:val="-5"/>
          <w:sz w:val="28"/>
          <w:szCs w:val="28"/>
          <w:lang w:eastAsia="zh-CN"/>
        </w:rPr>
        <w:t>率</w:t>
      </w:r>
      <w:r>
        <w:rPr>
          <w:spacing w:val="-55"/>
          <w:sz w:val="28"/>
          <w:szCs w:val="28"/>
          <w:lang w:eastAsia="zh-CN"/>
        </w:rPr>
        <w:t xml:space="preserve"> </w:t>
      </w:r>
      <w:r>
        <w:rPr>
          <w:rFonts w:ascii="Times New Roman" w:hAnsi="Times New Roman" w:eastAsia="Times New Roman" w:cs="Times New Roman"/>
          <w:spacing w:val="-5"/>
          <w:sz w:val="28"/>
          <w:szCs w:val="28"/>
          <w:lang w:eastAsia="zh-CN"/>
        </w:rPr>
        <w:t>7.92</w:t>
      </w:r>
      <w:r>
        <w:rPr>
          <w:spacing w:val="-5"/>
          <w:sz w:val="28"/>
          <w:szCs w:val="28"/>
          <w:lang w:eastAsia="zh-CN"/>
        </w:rPr>
        <w:t>，经济效益显著</w:t>
      </w:r>
      <w:r>
        <w:rPr>
          <w:rFonts w:hint="eastAsia" w:ascii="仿宋_GB2312" w:hAnsi="仿宋_GB2312" w:eastAsia="仿宋_GB2312" w:cs="仿宋_GB2312"/>
          <w:sz w:val="28"/>
          <w:szCs w:val="28"/>
          <w:lang w:eastAsia="zh-CN" w:bidi="ar"/>
        </w:rPr>
        <w:t>；在秦巴地区十字花科蔬菜根肿病疫区示范推广，防治效果达87%以上，降低防治成本52%，有限控制了根肿病的危害和蔓延，达到了减药省工、增效控害、绿色环保的目标。</w:t>
      </w:r>
    </w:p>
    <w:p w14:paraId="1C415C02">
      <w:pPr>
        <w:snapToGrid w:val="0"/>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（三）提质增效情况</w:t>
      </w:r>
    </w:p>
    <w:p w14:paraId="14047043">
      <w:pPr>
        <w:snapToGrid w:val="0"/>
        <w:spacing w:line="560" w:lineRule="exact"/>
        <w:ind w:firstLine="643" w:firstLineChars="200"/>
        <w:rPr>
          <w:rFonts w:ascii="仿宋_GB2312" w:hAnsi="仿宋_GB2312" w:eastAsia="仿宋_GB2312" w:cs="仿宋_GB2312"/>
          <w:sz w:val="28"/>
          <w:szCs w:val="28"/>
          <w:lang w:bidi="ar"/>
        </w:rPr>
      </w:pPr>
      <w:r>
        <w:rPr>
          <w:rFonts w:hint="eastAsia" w:ascii="仿宋_GB2312" w:hAnsi="仿宋_GB2312" w:eastAsia="仿宋_GB2312" w:cs="仿宋_GB2312"/>
          <w:b/>
          <w:bCs/>
          <w:sz w:val="32"/>
          <w:szCs w:val="32"/>
          <w:lang w:bidi="ar"/>
        </w:rPr>
        <w:t>1、防病：</w:t>
      </w:r>
      <w:r>
        <w:rPr>
          <w:rFonts w:hint="eastAsia" w:ascii="仿宋_GB2312" w:hAnsi="仿宋_GB2312" w:eastAsia="仿宋_GB2312" w:cs="仿宋_GB2312"/>
          <w:b w:val="0"/>
          <w:bCs w:val="0"/>
          <w:sz w:val="28"/>
          <w:szCs w:val="28"/>
          <w:lang w:val="en-US" w:eastAsia="zh-CN" w:bidi="ar"/>
        </w:rPr>
        <w:t>培育抗病品种，</w:t>
      </w:r>
      <w:r>
        <w:rPr>
          <w:rFonts w:hint="eastAsia" w:ascii="仿宋_GB2312" w:hAnsi="仿宋_GB2312" w:eastAsia="仿宋_GB2312" w:cs="仿宋_GB2312"/>
          <w:sz w:val="28"/>
          <w:szCs w:val="28"/>
          <w:lang w:bidi="ar"/>
        </w:rPr>
        <w:t>采用轮作倒茬和选用抗病品种技术措施，从根本上解决根肿病的危害。</w:t>
      </w:r>
    </w:p>
    <w:p w14:paraId="2CA71A35">
      <w:pPr>
        <w:snapToGrid w:val="0"/>
        <w:spacing w:line="560" w:lineRule="exact"/>
        <w:ind w:firstLine="643" w:firstLineChars="200"/>
        <w:rPr>
          <w:rFonts w:ascii="仿宋_GB2312" w:hAnsi="仿宋_GB2312" w:eastAsia="仿宋_GB2312" w:cs="仿宋_GB2312"/>
          <w:sz w:val="28"/>
          <w:szCs w:val="28"/>
          <w:lang w:bidi="ar"/>
        </w:rPr>
      </w:pPr>
      <w:r>
        <w:rPr>
          <w:rFonts w:hint="eastAsia" w:ascii="仿宋_GB2312" w:hAnsi="仿宋_GB2312" w:eastAsia="仿宋_GB2312" w:cs="仿宋_GB2312"/>
          <w:b/>
          <w:bCs/>
          <w:sz w:val="32"/>
          <w:szCs w:val="32"/>
          <w:lang w:bidi="ar"/>
        </w:rPr>
        <w:t>2、避病：</w:t>
      </w:r>
      <w:r>
        <w:rPr>
          <w:rFonts w:hint="eastAsia" w:ascii="仿宋_GB2312" w:hAnsi="仿宋_GB2312" w:eastAsia="仿宋_GB2312" w:cs="仿宋_GB2312"/>
          <w:sz w:val="28"/>
          <w:szCs w:val="28"/>
          <w:lang w:bidi="ar"/>
        </w:rPr>
        <w:t>无菌苗可以推迟病害发生45天左右时间，待植株表现出根肿病症状前，可以采收上市，达到避病的目的。</w:t>
      </w:r>
    </w:p>
    <w:p w14:paraId="707D6447">
      <w:pPr>
        <w:snapToGrid w:val="0"/>
        <w:spacing w:line="560" w:lineRule="exact"/>
        <w:ind w:firstLine="643" w:firstLineChars="200"/>
        <w:rPr>
          <w:rFonts w:ascii="仿宋_GB2312" w:hAnsi="仿宋_GB2312" w:eastAsia="仿宋_GB2312" w:cs="仿宋_GB2312"/>
          <w:sz w:val="28"/>
          <w:szCs w:val="28"/>
          <w:lang w:bidi="ar"/>
        </w:rPr>
      </w:pPr>
      <w:r>
        <w:rPr>
          <w:rFonts w:hint="eastAsia" w:ascii="仿宋_GB2312" w:hAnsi="仿宋_GB2312" w:eastAsia="仿宋_GB2312" w:cs="仿宋_GB2312"/>
          <w:b/>
          <w:bCs/>
          <w:sz w:val="32"/>
          <w:szCs w:val="32"/>
          <w:lang w:bidi="ar"/>
        </w:rPr>
        <w:t>3、治病</w:t>
      </w:r>
      <w:r>
        <w:rPr>
          <w:rFonts w:hint="eastAsia" w:ascii="仿宋_GB2312" w:hAnsi="仿宋_GB2312" w:eastAsia="仿宋_GB2312" w:cs="仿宋_GB2312"/>
          <w:b/>
          <w:bCs/>
          <w:sz w:val="32"/>
          <w:szCs w:val="32"/>
          <w:lang w:eastAsia="zh-CN" w:bidi="ar"/>
        </w:rPr>
        <w:t>：</w:t>
      </w:r>
      <w:r>
        <w:rPr>
          <w:rFonts w:hint="eastAsia" w:ascii="仿宋_GB2312" w:hAnsi="仿宋_GB2312" w:eastAsia="仿宋_GB2312" w:cs="仿宋_GB2312"/>
          <w:sz w:val="28"/>
          <w:szCs w:val="28"/>
          <w:lang w:bidi="ar"/>
        </w:rPr>
        <w:t>育苗时采用漂浮育苗技术，同时在基质或营养液中加入枯草芽孢杆菌；移栽前，结合整地，用24%石灰氮150kg/亩，或钙镁磷肥30kg/亩，用</w:t>
      </w:r>
      <w:r>
        <w:rPr>
          <w:rFonts w:hint="eastAsia" w:ascii="仿宋_GB2312" w:hAnsi="仿宋_GB2312" w:eastAsia="仿宋_GB2312" w:cs="仿宋_GB2312"/>
          <w:spacing w:val="-7"/>
          <w:sz w:val="28"/>
          <w:szCs w:val="28"/>
        </w:rPr>
        <w:t>50%氟啶胺悬浮剂</w:t>
      </w:r>
      <w:r>
        <w:rPr>
          <w:rFonts w:hint="eastAsia" w:ascii="仿宋_GB2312" w:hAnsi="仿宋_GB2312" w:eastAsia="仿宋_GB2312" w:cs="仿宋_GB2312"/>
          <w:sz w:val="28"/>
          <w:szCs w:val="28"/>
          <w:lang w:bidi="ar"/>
        </w:rPr>
        <w:t>250-300ml/亩，对带菌土壤进行喷淋处理；移栽后采用10%10%</w:t>
      </w:r>
      <w:r>
        <w:fldChar w:fldCharType="begin"/>
      </w:r>
      <w:r>
        <w:instrText xml:space="preserve"> HYPERLINK "https://baike.so.com/doc/5956115-7116590.html" \t "C:\Users\Administrator.WINMICR-MMC1UAL\Desktop\_blank" </w:instrText>
      </w:r>
      <w:r>
        <w:fldChar w:fldCharType="separate"/>
      </w:r>
      <w:r>
        <w:rPr>
          <w:rStyle w:val="5"/>
          <w:rFonts w:hint="eastAsia" w:ascii="仿宋_GB2312" w:hAnsi="仿宋_GB2312" w:eastAsia="仿宋_GB2312" w:cs="仿宋_GB2312"/>
          <w:color w:val="auto"/>
          <w:sz w:val="28"/>
          <w:szCs w:val="28"/>
          <w:u w:val="none"/>
        </w:rPr>
        <w:t>氰霜唑</w:t>
      </w:r>
      <w:r>
        <w:rPr>
          <w:rStyle w:val="5"/>
          <w:rFonts w:hint="eastAsia" w:ascii="仿宋_GB2312" w:hAnsi="仿宋_GB2312" w:eastAsia="仿宋_GB2312" w:cs="仿宋_GB2312"/>
          <w:color w:val="auto"/>
          <w:sz w:val="28"/>
          <w:szCs w:val="28"/>
          <w:u w:val="none"/>
        </w:rPr>
        <w:fldChar w:fldCharType="end"/>
      </w:r>
      <w:r>
        <w:rPr>
          <w:rFonts w:hint="eastAsia" w:ascii="仿宋_GB2312" w:hAnsi="仿宋_GB2312" w:eastAsia="仿宋_GB2312" w:cs="仿宋_GB2312"/>
          <w:sz w:val="28"/>
          <w:szCs w:val="28"/>
          <w:lang w:bidi="ar"/>
        </w:rPr>
        <w:t>悬浮剂2000倍液、或100亿CFU/g‘枯草芽孢杆菌XF-1’可湿性粉剂500-650倍液进行灌根处理；连续进行2—3次。</w:t>
      </w:r>
    </w:p>
    <w:p w14:paraId="62BCD2E6">
      <w:pPr>
        <w:snapToGrid w:val="0"/>
        <w:spacing w:line="560" w:lineRule="exact"/>
        <w:ind w:firstLine="643" w:firstLineChars="200"/>
        <w:rPr>
          <w:rFonts w:ascii="仿宋_GB2312" w:hAnsi="仿宋_GB2312" w:eastAsia="仿宋_GB2312" w:cs="仿宋_GB2312"/>
          <w:sz w:val="28"/>
          <w:szCs w:val="28"/>
        </w:rPr>
      </w:pPr>
      <w:r>
        <w:rPr>
          <w:rFonts w:hint="eastAsia" w:ascii="仿宋_GB2312" w:hAnsi="仿宋_GB2312" w:eastAsia="仿宋_GB2312" w:cs="仿宋_GB2312"/>
          <w:b/>
          <w:bCs/>
          <w:sz w:val="32"/>
          <w:szCs w:val="32"/>
          <w:lang w:bidi="ar"/>
        </w:rPr>
        <w:t>4、增效：</w:t>
      </w:r>
      <w:r>
        <w:rPr>
          <w:rFonts w:hint="eastAsia" w:ascii="仿宋_GB2312" w:hAnsi="仿宋_GB2312" w:eastAsia="仿宋_GB2312" w:cs="仿宋_GB2312"/>
          <w:sz w:val="28"/>
          <w:szCs w:val="28"/>
          <w:lang w:bidi="ar"/>
        </w:rPr>
        <w:t>经试验和调查，采用综合防治技术，大白菜、娃娃菜、甘蓝、花椰菜、青花菜和萝卜等平均每亩减损分别为3003.9kg、2950.9kg、2057.8kg、536.9kg、751.4kg和3524.7kg。</w:t>
      </w:r>
    </w:p>
    <w:p w14:paraId="16E95B02">
      <w:pPr>
        <w:numPr>
          <w:ilvl w:val="0"/>
          <w:numId w:val="3"/>
        </w:numPr>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获奖情况</w:t>
      </w:r>
    </w:p>
    <w:p w14:paraId="57E54386">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该技术2021年荣获陕西省科学技术进步奖二等奖、2021年陕西省农业技术推广成果奖二等奖；入选2021年度全国高山高原蔬菜优质生态栽培技术协作组高山高原蔬菜十大主推技术，2021年被太白县政府确定为农业重点主推技术。</w:t>
      </w:r>
    </w:p>
    <w:p w14:paraId="4CCCD3FE">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二、技术要点</w:t>
      </w:r>
    </w:p>
    <w:p w14:paraId="69991C1B">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十字花作物根肿病是专属性土传病害，病菌以病残体、休眠孢子在土壤、有机肥和粘附在种子表面的带菌泥土传播，病菌休眠孢子的抗逆性很强，在酸性土壤中可存活12年以上。根据病害的发生规律和特点，太白县农业技术推广服务中心</w:t>
      </w:r>
      <w:r>
        <w:rPr>
          <w:rFonts w:hint="eastAsia" w:ascii="仿宋_GB2312" w:hAnsi="仿宋_GB2312" w:eastAsia="仿宋_GB2312" w:cs="仿宋_GB2312"/>
          <w:sz w:val="28"/>
          <w:szCs w:val="28"/>
          <w:lang w:val="en-US" w:eastAsia="zh-CN"/>
        </w:rPr>
        <w:t>和国家大宗蔬菜试验示范（西安）站</w:t>
      </w:r>
      <w:r>
        <w:rPr>
          <w:rFonts w:hint="eastAsia" w:ascii="仿宋_GB2312" w:hAnsi="仿宋_GB2312" w:eastAsia="仿宋_GB2312" w:cs="仿宋_GB2312"/>
          <w:sz w:val="28"/>
          <w:szCs w:val="28"/>
        </w:rPr>
        <w:t>，通过多年的试验、示范和田间调查，总结集成了“</w:t>
      </w:r>
      <w:r>
        <w:rPr>
          <w:rFonts w:hint="eastAsia" w:ascii="仿宋_GB2312" w:hAnsi="仿宋_GB2312" w:eastAsia="仿宋_GB2312" w:cs="仿宋_GB2312"/>
          <w:sz w:val="28"/>
          <w:szCs w:val="28"/>
          <w:lang w:val="en-US" w:eastAsia="zh-CN"/>
        </w:rPr>
        <w:t>育、</w:t>
      </w:r>
      <w:r>
        <w:rPr>
          <w:rFonts w:hint="eastAsia" w:ascii="仿宋_GB2312" w:hAnsi="仿宋_GB2312" w:eastAsia="仿宋_GB2312" w:cs="仿宋_GB2312"/>
          <w:sz w:val="28"/>
          <w:szCs w:val="28"/>
        </w:rPr>
        <w:t>轮、种、</w:t>
      </w:r>
      <w:r>
        <w:rPr>
          <w:rFonts w:hint="eastAsia" w:ascii="仿宋_GB2312" w:hAnsi="仿宋_GB2312" w:eastAsia="仿宋_GB2312" w:cs="仿宋_GB2312"/>
          <w:sz w:val="28"/>
          <w:szCs w:val="28"/>
          <w:lang w:val="en-US" w:eastAsia="zh-CN"/>
        </w:rPr>
        <w:t>苗</w:t>
      </w:r>
      <w:r>
        <w:rPr>
          <w:rFonts w:hint="eastAsia" w:ascii="仿宋_GB2312" w:hAnsi="仿宋_GB2312" w:eastAsia="仿宋_GB2312" w:cs="仿宋_GB2312"/>
          <w:sz w:val="28"/>
          <w:szCs w:val="28"/>
        </w:rPr>
        <w:t>、土、肥、管、防”等</w:t>
      </w: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rPr>
        <w:t>个关键环节的绿色综合防治技术。</w:t>
      </w:r>
    </w:p>
    <w:p w14:paraId="18544B64">
      <w:pPr>
        <w:keepNext w:val="0"/>
        <w:keepLines w:val="0"/>
        <w:pageBreakBefore w:val="0"/>
        <w:widowControl w:val="0"/>
        <w:numPr>
          <w:ilvl w:val="0"/>
          <w:numId w:val="4"/>
        </w:numPr>
        <w:kinsoku/>
        <w:wordWrap/>
        <w:overflowPunct/>
        <w:topLinePunct w:val="0"/>
        <w:autoSpaceDE/>
        <w:autoSpaceDN/>
        <w:bidi w:val="0"/>
        <w:adjustRightInd/>
        <w:snapToGrid w:val="0"/>
        <w:spacing w:line="560" w:lineRule="exact"/>
        <w:ind w:firstLine="643" w:firstLineChars="200"/>
        <w:textAlignment w:val="auto"/>
        <w:rPr>
          <w:rFonts w:hint="eastAsia" w:ascii="仿宋_GB2312" w:hAnsi="仿宋_GB2312" w:eastAsia="仿宋_GB2312" w:cs="仿宋_GB2312"/>
          <w:b w:val="0"/>
          <w:bCs w:val="0"/>
          <w:sz w:val="28"/>
          <w:szCs w:val="28"/>
          <w:lang w:val="en-US" w:eastAsia="zh-CN"/>
        </w:rPr>
      </w:pPr>
      <w:r>
        <w:rPr>
          <w:rFonts w:hint="eastAsia" w:ascii="楷体" w:hAnsi="楷体" w:eastAsia="楷体" w:cs="楷体"/>
          <w:b/>
          <w:bCs/>
          <w:sz w:val="32"/>
          <w:szCs w:val="32"/>
          <w:lang w:eastAsia="zh-CN"/>
        </w:rPr>
        <w:t>“</w:t>
      </w:r>
      <w:r>
        <w:rPr>
          <w:rFonts w:hint="eastAsia" w:ascii="楷体" w:hAnsi="楷体" w:eastAsia="楷体" w:cs="楷体"/>
          <w:b/>
          <w:bCs/>
          <w:sz w:val="32"/>
          <w:szCs w:val="32"/>
          <w:lang w:val="en-US" w:eastAsia="zh-CN"/>
        </w:rPr>
        <w:t>育</w:t>
      </w:r>
      <w:r>
        <w:rPr>
          <w:rFonts w:hint="eastAsia" w:ascii="楷体" w:hAnsi="楷体" w:eastAsia="楷体" w:cs="楷体"/>
          <w:b/>
          <w:bCs/>
          <w:sz w:val="32"/>
          <w:szCs w:val="32"/>
          <w:lang w:eastAsia="zh-CN"/>
        </w:rPr>
        <w:t>”：</w:t>
      </w:r>
      <w:r>
        <w:rPr>
          <w:rFonts w:hint="eastAsia" w:ascii="楷体" w:hAnsi="楷体" w:eastAsia="楷体" w:cs="楷体"/>
          <w:b/>
          <w:bCs/>
          <w:sz w:val="32"/>
          <w:szCs w:val="32"/>
          <w:lang w:val="en-US" w:eastAsia="zh-CN"/>
        </w:rPr>
        <w:t>选育抗病品种</w:t>
      </w:r>
    </w:p>
    <w:p w14:paraId="4A7554C2">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560" w:firstLineChars="200"/>
        <w:textAlignment w:val="auto"/>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西北农林科技大学园艺学院，应用大白菜根肿病抗性</w:t>
      </w:r>
      <w:r>
        <w:rPr>
          <w:rFonts w:hint="eastAsia" w:ascii="仿宋_GB2312" w:hAnsi="仿宋_GB2312" w:eastAsia="仿宋_GB2312" w:cs="仿宋_GB2312"/>
          <w:b w:val="0"/>
          <w:bCs w:val="0"/>
          <w:spacing w:val="-1"/>
          <w:sz w:val="28"/>
          <w:szCs w:val="28"/>
        </w:rPr>
        <w:t xml:space="preserve">CRa </w:t>
      </w:r>
      <w:r>
        <w:rPr>
          <w:rFonts w:hint="eastAsia" w:ascii="仿宋_GB2312" w:hAnsi="仿宋_GB2312" w:eastAsia="仿宋_GB2312" w:cs="仿宋_GB2312"/>
          <w:spacing w:val="0"/>
          <w:w w:val="100"/>
          <w:position w:val="0"/>
          <w:sz w:val="28"/>
          <w:szCs w:val="28"/>
          <w:lang w:val="en-US" w:eastAsia="zh-CN"/>
        </w:rPr>
        <w:t>基因特异标记开发技术，按照</w:t>
      </w:r>
      <w:r>
        <w:rPr>
          <w:rFonts w:hint="eastAsia" w:ascii="仿宋_GB2312" w:hAnsi="仿宋_GB2312" w:eastAsia="仿宋_GB2312" w:cs="仿宋_GB2312"/>
          <w:spacing w:val="0"/>
          <w:w w:val="100"/>
          <w:position w:val="0"/>
          <w:sz w:val="28"/>
          <w:szCs w:val="28"/>
        </w:rPr>
        <w:t>抗根肿病、耐抽薹、高山越夏栽培目标，先后测配不同类型大白菜杂交组</w:t>
      </w:r>
      <w:r>
        <w:rPr>
          <w:rFonts w:hint="eastAsia" w:ascii="仿宋_GB2312" w:hAnsi="仿宋_GB2312" w:eastAsia="仿宋_GB2312" w:cs="仿宋_GB2312"/>
          <w:spacing w:val="0"/>
          <w:w w:val="100"/>
          <w:position w:val="0"/>
          <w:sz w:val="28"/>
          <w:szCs w:val="28"/>
          <w:lang w:val="en-US" w:eastAsia="zh-CN"/>
        </w:rPr>
        <w:t>合</w:t>
      </w:r>
      <w:r>
        <w:rPr>
          <w:rFonts w:hint="eastAsia" w:ascii="仿宋_GB2312" w:hAnsi="仿宋_GB2312" w:eastAsia="仿宋_GB2312" w:cs="仿宋_GB2312"/>
          <w:spacing w:val="0"/>
          <w:w w:val="100"/>
          <w:position w:val="0"/>
          <w:sz w:val="28"/>
          <w:szCs w:val="28"/>
        </w:rPr>
        <w:t>1592个，通过耐抽薹性、抗病性和农艺性状多点鉴定， 筛选出符合育种目标组合3个</w:t>
      </w:r>
      <w:r>
        <w:rPr>
          <w:rFonts w:hint="eastAsia" w:ascii="仿宋_GB2312" w:hAnsi="仿宋_GB2312" w:eastAsia="仿宋_GB2312" w:cs="仿宋_GB2312"/>
          <w:spacing w:val="0"/>
          <w:w w:val="100"/>
          <w:position w:val="0"/>
          <w:sz w:val="28"/>
          <w:szCs w:val="28"/>
          <w:lang w:eastAsia="zh-CN"/>
        </w:rPr>
        <w:t>，</w:t>
      </w:r>
      <w:r>
        <w:rPr>
          <w:rFonts w:hint="eastAsia" w:ascii="仿宋_GB2312" w:hAnsi="仿宋_GB2312" w:eastAsia="仿宋_GB2312" w:cs="仿宋_GB2312"/>
          <w:spacing w:val="0"/>
          <w:w w:val="100"/>
          <w:position w:val="0"/>
          <w:sz w:val="28"/>
          <w:szCs w:val="28"/>
        </w:rPr>
        <w:t>其中‘秦春2号’和‘秦春</w:t>
      </w:r>
      <w:r>
        <w:rPr>
          <w:rFonts w:hint="eastAsia" w:ascii="仿宋_GB2312" w:hAnsi="仿宋_GB2312" w:eastAsia="仿宋_GB2312" w:cs="仿宋_GB2312"/>
          <w:spacing w:val="0"/>
          <w:w w:val="100"/>
          <w:position w:val="0"/>
          <w:sz w:val="28"/>
          <w:szCs w:val="28"/>
          <w:lang w:val="en-US" w:eastAsia="zh-CN"/>
        </w:rPr>
        <w:t>3</w:t>
      </w:r>
      <w:r>
        <w:rPr>
          <w:rFonts w:hint="eastAsia" w:ascii="仿宋_GB2312" w:hAnsi="仿宋_GB2312" w:eastAsia="仿宋_GB2312" w:cs="仿宋_GB2312"/>
          <w:spacing w:val="0"/>
          <w:w w:val="100"/>
          <w:position w:val="0"/>
          <w:sz w:val="28"/>
          <w:szCs w:val="28"/>
        </w:rPr>
        <w:t>号’两个强优势组合目标性状突出，已先后通过了陕西省和国家新品种鉴定登记。</w:t>
      </w:r>
    </w:p>
    <w:p w14:paraId="599B9467">
      <w:pPr>
        <w:numPr>
          <w:ilvl w:val="0"/>
          <w:numId w:val="4"/>
        </w:numPr>
        <w:snapToGrid w:val="0"/>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lang w:bidi="ar"/>
        </w:rPr>
        <w:t>“轮”：轮作倒茬</w:t>
      </w:r>
    </w:p>
    <w:p w14:paraId="2926FFB7">
      <w:pPr>
        <w:snapToGrid w:val="0"/>
        <w:spacing w:line="560" w:lineRule="exact"/>
        <w:ind w:firstLine="560" w:firstLineChars="200"/>
        <w:rPr>
          <w:rFonts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根肿病发病严重的田块，实行与非十字花科作物进行轮作倒茬。根据实际可与洋葱、生菜、莴笋、芹菜、蒜苗、辣椒、西葫芦、菜豆、鲜食玉米等蔬菜作物及粮食和非十字花科的经济作物轮作。</w:t>
      </w:r>
    </w:p>
    <w:p w14:paraId="22AD4EB1">
      <w:pPr>
        <w:numPr>
          <w:ilvl w:val="0"/>
          <w:numId w:val="4"/>
        </w:numPr>
        <w:snapToGrid w:val="0"/>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lang w:bidi="ar"/>
        </w:rPr>
        <w:t>“种”：选用抗病品种</w:t>
      </w:r>
    </w:p>
    <w:p w14:paraId="5A4863BF">
      <w:pPr>
        <w:snapToGrid w:val="0"/>
        <w:spacing w:line="560" w:lineRule="exact"/>
        <w:ind w:firstLine="560" w:firstLineChars="200"/>
        <w:rPr>
          <w:rFonts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根肿病病菌种群组成鉴定结果表明，太白县蔬菜根肿病的种群组成为4号和7号生理小种；其它生产区应进行相应的生理小种鉴定，并选择抗（或耐）相应生理小种的十字花科作物品种。</w:t>
      </w:r>
    </w:p>
    <w:p w14:paraId="38D635F9">
      <w:pPr>
        <w:snapToGrid w:val="0"/>
        <w:spacing w:line="560" w:lineRule="exact"/>
        <w:jc w:val="center"/>
        <w:rPr>
          <w:rFonts w:ascii="仿宋_GB2312" w:hAnsi="仿宋_GB2312" w:eastAsia="仿宋_GB2312" w:cs="仿宋_GB2312"/>
          <w:b/>
          <w:bCs/>
          <w:sz w:val="24"/>
          <w:szCs w:val="24"/>
          <w:lang w:bidi="ar"/>
        </w:rPr>
      </w:pPr>
      <w:r>
        <w:rPr>
          <w:rFonts w:hint="eastAsia" w:ascii="仿宋_GB2312" w:hAnsi="仿宋_GB2312" w:eastAsia="仿宋_GB2312" w:cs="仿宋_GB2312"/>
          <w:b/>
          <w:bCs/>
          <w:sz w:val="24"/>
          <w:szCs w:val="24"/>
        </w:rPr>
        <w:drawing>
          <wp:anchor distT="0" distB="0" distL="114300" distR="114300" simplePos="0" relativeHeight="251661312" behindDoc="0" locked="0" layoutInCell="1" allowOverlap="1">
            <wp:simplePos x="0" y="0"/>
            <wp:positionH relativeFrom="column">
              <wp:posOffset>27940</wp:posOffset>
            </wp:positionH>
            <wp:positionV relativeFrom="paragraph">
              <wp:posOffset>95885</wp:posOffset>
            </wp:positionV>
            <wp:extent cx="5217795" cy="2153285"/>
            <wp:effectExtent l="0" t="0" r="1905" b="18415"/>
            <wp:wrapSquare wrapText="bothSides"/>
            <wp:docPr id="4" name="图片 4" descr="564bff1d19ab39ccbbb33670453dd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64bff1d19ab39ccbbb33670453dd8b"/>
                    <pic:cNvPicPr>
                      <a:picLocks noChangeAspect="1"/>
                    </pic:cNvPicPr>
                  </pic:nvPicPr>
                  <pic:blipFill>
                    <a:blip r:embed="rId5"/>
                    <a:srcRect l="20857" t="18967" r="587" b="27959"/>
                    <a:stretch>
                      <a:fillRect/>
                    </a:stretch>
                  </pic:blipFill>
                  <pic:spPr>
                    <a:xfrm>
                      <a:off x="0" y="0"/>
                      <a:ext cx="5217795" cy="2153285"/>
                    </a:xfrm>
                    <a:prstGeom prst="rect">
                      <a:avLst/>
                    </a:prstGeom>
                  </pic:spPr>
                </pic:pic>
              </a:graphicData>
            </a:graphic>
          </wp:anchor>
        </w:drawing>
      </w:r>
      <w:r>
        <w:rPr>
          <w:rFonts w:hint="eastAsia" w:ascii="仿宋_GB2312" w:hAnsi="仿宋_GB2312" w:eastAsia="仿宋_GB2312" w:cs="仿宋_GB2312"/>
          <w:b/>
          <w:bCs/>
          <w:sz w:val="24"/>
          <w:szCs w:val="24"/>
          <w:lang w:bidi="ar"/>
        </w:rPr>
        <w:t>照片2：引进品种试验</w:t>
      </w:r>
    </w:p>
    <w:p w14:paraId="06895F9C">
      <w:pPr>
        <w:snapToGrid w:val="0"/>
        <w:spacing w:line="560" w:lineRule="exact"/>
        <w:ind w:firstLine="482" w:firstLineChars="200"/>
        <w:rPr>
          <w:rFonts w:ascii="仿宋_GB2312" w:hAnsi="仿宋_GB2312" w:eastAsia="仿宋_GB2312" w:cs="仿宋_GB2312"/>
          <w:b/>
          <w:bCs/>
          <w:sz w:val="24"/>
          <w:szCs w:val="24"/>
          <w:lang w:bidi="ar"/>
        </w:rPr>
      </w:pPr>
      <w:r>
        <w:rPr>
          <w:rFonts w:hint="eastAsia" w:ascii="仿宋_GB2312" w:hAnsi="仿宋_GB2312" w:eastAsia="仿宋_GB2312" w:cs="仿宋_GB2312"/>
          <w:b/>
          <w:bCs/>
          <w:sz w:val="24"/>
          <w:szCs w:val="24"/>
          <w:lang w:bidi="ar"/>
        </w:rPr>
        <w:t>照片说明：</w:t>
      </w:r>
      <w:r>
        <w:rPr>
          <w:rFonts w:hint="eastAsia" w:ascii="仿宋_GB2312" w:hAnsi="仿宋_GB2312" w:eastAsia="仿宋_GB2312" w:cs="仿宋_GB2312"/>
          <w:sz w:val="24"/>
          <w:szCs w:val="24"/>
          <w:lang w:bidi="ar"/>
        </w:rPr>
        <w:t>选用抗病品种是防治根肿病基本措施。太白县年引进新品种80—90个，经试验、示范，筛选出抗（耐）病品种8—10个。</w:t>
      </w:r>
    </w:p>
    <w:p w14:paraId="7864BBC8">
      <w:pPr>
        <w:numPr>
          <w:ilvl w:val="0"/>
          <w:numId w:val="4"/>
        </w:numPr>
        <w:snapToGrid w:val="0"/>
        <w:spacing w:line="560" w:lineRule="exact"/>
        <w:ind w:firstLine="643" w:firstLineChars="200"/>
        <w:rPr>
          <w:rFonts w:ascii="楷体" w:hAnsi="楷体" w:eastAsia="楷体" w:cs="楷体"/>
          <w:b/>
          <w:bCs/>
          <w:sz w:val="32"/>
          <w:szCs w:val="32"/>
        </w:rPr>
      </w:pPr>
      <w:r>
        <w:rPr>
          <w:rFonts w:hint="eastAsia" w:ascii="仿宋_GB2312" w:hAnsi="仿宋_GB2312" w:eastAsia="仿宋_GB2312" w:cs="仿宋_GB2312"/>
          <w:b/>
          <w:bCs/>
          <w:sz w:val="32"/>
          <w:szCs w:val="32"/>
        </w:rPr>
        <w:drawing>
          <wp:anchor distT="0" distB="0" distL="114300" distR="114300" simplePos="0" relativeHeight="251660288" behindDoc="0" locked="0" layoutInCell="1" allowOverlap="1">
            <wp:simplePos x="0" y="0"/>
            <wp:positionH relativeFrom="column">
              <wp:posOffset>160020</wp:posOffset>
            </wp:positionH>
            <wp:positionV relativeFrom="paragraph">
              <wp:posOffset>1118235</wp:posOffset>
            </wp:positionV>
            <wp:extent cx="5090160" cy="2469515"/>
            <wp:effectExtent l="0" t="0" r="15240" b="6985"/>
            <wp:wrapSquare wrapText="bothSides"/>
            <wp:docPr id="11" name="图片 11" descr="8bcac1b2e6354c77c810e648c109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bcac1b2e6354c77c810e648c109844"/>
                    <pic:cNvPicPr>
                      <a:picLocks noChangeAspect="1"/>
                    </pic:cNvPicPr>
                  </pic:nvPicPr>
                  <pic:blipFill>
                    <a:blip r:embed="rId6"/>
                    <a:srcRect r="-269" b="9701"/>
                    <a:stretch>
                      <a:fillRect/>
                    </a:stretch>
                  </pic:blipFill>
                  <pic:spPr>
                    <a:xfrm>
                      <a:off x="0" y="0"/>
                      <a:ext cx="5090160" cy="2469515"/>
                    </a:xfrm>
                    <a:prstGeom prst="rect">
                      <a:avLst/>
                    </a:prstGeom>
                  </pic:spPr>
                </pic:pic>
              </a:graphicData>
            </a:graphic>
          </wp:anchor>
        </w:drawing>
      </w:r>
      <w:r>
        <w:rPr>
          <w:rFonts w:hint="eastAsia" w:ascii="楷体" w:hAnsi="楷体" w:eastAsia="楷体" w:cs="楷体"/>
          <w:b/>
          <w:bCs/>
          <w:sz w:val="32"/>
          <w:szCs w:val="32"/>
          <w:lang w:bidi="ar"/>
        </w:rPr>
        <w:t>“</w:t>
      </w:r>
      <w:r>
        <w:rPr>
          <w:rFonts w:hint="eastAsia" w:ascii="楷体" w:hAnsi="楷体" w:eastAsia="楷体" w:cs="楷体"/>
          <w:b/>
          <w:bCs/>
          <w:sz w:val="32"/>
          <w:szCs w:val="32"/>
          <w:lang w:val="en-US" w:eastAsia="zh-CN" w:bidi="ar"/>
        </w:rPr>
        <w:t>苗</w:t>
      </w:r>
      <w:r>
        <w:rPr>
          <w:rFonts w:hint="eastAsia" w:ascii="楷体" w:hAnsi="楷体" w:eastAsia="楷体" w:cs="楷体"/>
          <w:b/>
          <w:bCs/>
          <w:sz w:val="32"/>
          <w:szCs w:val="32"/>
          <w:lang w:bidi="ar"/>
        </w:rPr>
        <w:t>”：培育无菌壮苗</w:t>
      </w:r>
      <w:r>
        <w:rPr>
          <w:rFonts w:hint="eastAsia" w:ascii="楷体" w:hAnsi="楷体" w:eastAsia="楷体" w:cs="楷体"/>
          <w:b/>
          <w:bCs/>
          <w:sz w:val="32"/>
          <w:szCs w:val="32"/>
          <w:lang w:eastAsia="zh-CN" w:bidi="ar"/>
        </w:rPr>
        <w:t>。</w:t>
      </w:r>
      <w:r>
        <w:rPr>
          <w:rFonts w:hint="eastAsia" w:ascii="仿宋_GB2312" w:hAnsi="仿宋_GB2312" w:eastAsia="仿宋_GB2312" w:cs="仿宋_GB2312"/>
          <w:sz w:val="28"/>
          <w:szCs w:val="28"/>
          <w:lang w:bidi="ar"/>
        </w:rPr>
        <w:t>采用无病菌基质，在无病菌环境下进行漂浮育苗、穴盘育苗，育苗环节彻底摆脱土壤这个可传病介质，从根本上杜绝苗期病害的发生和传播。</w:t>
      </w:r>
    </w:p>
    <w:p w14:paraId="12294BE1">
      <w:pPr>
        <w:snapToGrid w:val="0"/>
        <w:spacing w:line="560" w:lineRule="exact"/>
        <w:jc w:val="center"/>
        <w:rPr>
          <w:rFonts w:ascii="楷体" w:hAnsi="楷体" w:eastAsia="楷体" w:cs="楷体"/>
          <w:b/>
          <w:bCs/>
          <w:sz w:val="28"/>
          <w:szCs w:val="28"/>
        </w:rPr>
      </w:pPr>
      <w:r>
        <w:rPr>
          <w:rFonts w:hint="eastAsia" w:ascii="楷体" w:hAnsi="楷体" w:eastAsia="楷体" w:cs="楷体"/>
          <w:b/>
          <w:bCs/>
          <w:sz w:val="28"/>
          <w:szCs w:val="28"/>
        </w:rPr>
        <w:t>照片3、蔬菜漂浮育苗</w:t>
      </w:r>
    </w:p>
    <w:p w14:paraId="0DCE624D">
      <w:pPr>
        <w:snapToGrid w:val="0"/>
        <w:spacing w:line="560" w:lineRule="exact"/>
        <w:ind w:firstLine="482" w:firstLineChars="200"/>
        <w:rPr>
          <w:rFonts w:ascii="仿宋_GB2312" w:hAnsi="仿宋_GB2312" w:eastAsia="仿宋_GB2312" w:cs="仿宋_GB2312"/>
          <w:sz w:val="24"/>
          <w:szCs w:val="24"/>
        </w:rPr>
      </w:pPr>
      <w:r>
        <w:rPr>
          <w:rFonts w:hint="eastAsia" w:ascii="仿宋_GB2312" w:hAnsi="仿宋_GB2312" w:eastAsia="仿宋_GB2312" w:cs="仿宋_GB2312"/>
          <w:b/>
          <w:bCs/>
          <w:sz w:val="24"/>
          <w:szCs w:val="24"/>
        </w:rPr>
        <w:t>照片说明：</w:t>
      </w:r>
      <w:r>
        <w:rPr>
          <w:rFonts w:hint="eastAsia" w:ascii="仿宋_GB2312" w:hAnsi="仿宋_GB2312" w:eastAsia="仿宋_GB2312" w:cs="仿宋_GB2312"/>
          <w:sz w:val="24"/>
          <w:szCs w:val="24"/>
        </w:rPr>
        <w:t>漂浮育苗是无菌育苗主要方式之一，通过培育无菌壮苗，切断了病菌传播途径，而且也能推迟带菌大田病害发生时间，从而达到“避病”目标。</w:t>
      </w:r>
    </w:p>
    <w:p w14:paraId="1A32F5FF">
      <w:pPr>
        <w:numPr>
          <w:ilvl w:val="0"/>
          <w:numId w:val="4"/>
        </w:numPr>
        <w:snapToGrid w:val="0"/>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lang w:bidi="ar"/>
        </w:rPr>
        <w:t>“土”：补钙调酸，提高土壤pH值，创造抑制根肿病菌生长和病菌休眠孢子存活的土壤环境</w:t>
      </w:r>
    </w:p>
    <w:p w14:paraId="77D9AEA1">
      <w:pPr>
        <w:snapToGrid w:val="0"/>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用24%石灰氮粉剂150kg/亩，或钙镁磷肥30kg/亩，进行土壤表面撒施，然后对土壤进行旋耕，旋耕深度为15-20cm。</w:t>
      </w:r>
    </w:p>
    <w:p w14:paraId="78619FA2">
      <w:pPr>
        <w:numPr>
          <w:ilvl w:val="0"/>
          <w:numId w:val="4"/>
        </w:numPr>
        <w:snapToGrid w:val="0"/>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lang w:bidi="ar"/>
        </w:rPr>
        <w:t>“肥”：增施有机肥，培肥地力</w:t>
      </w:r>
    </w:p>
    <w:p w14:paraId="35B26294">
      <w:pPr>
        <w:snapToGrid w:val="0"/>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增施腐熟有机肥，改善土壤结构，培肥地力；根据作物需肥特点进行测土配方施肥，提高作物抗病能力。</w:t>
      </w:r>
    </w:p>
    <w:p w14:paraId="5D0B7E5C">
      <w:pPr>
        <w:numPr>
          <w:ilvl w:val="0"/>
          <w:numId w:val="4"/>
        </w:numPr>
        <w:snapToGrid w:val="0"/>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lang w:bidi="ar"/>
        </w:rPr>
        <w:t>“管”：加强田间管理，减少重复感染</w:t>
      </w:r>
    </w:p>
    <w:p w14:paraId="3B945155">
      <w:pPr>
        <w:snapToGrid w:val="0"/>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在作物播种或移栽前，搞好田间排水工作，增加土壤通透性，降低土壤湿度；移栽时选择晴天进行，淘汰病苗、弱苗、机械损伤苗和老化苗；灌溉时要用不带病菌的净水。生长期间要做到勤中耕，勤除草，发现病株要及时拔除，病穴及时撒施生石灰，病株带出田间进行无害化处理，不留于田间或扔到路边和河渠里，减少病菌的重复侵染，防止病菌的扩大蔓延。如果遇到下雨天气，并且持续的时间较长的时候，注意排水防涝。作物采收后，将病残体统一收集，进行集中处理。</w:t>
      </w:r>
    </w:p>
    <w:p w14:paraId="3EE6BEF3">
      <w:pPr>
        <w:numPr>
          <w:ilvl w:val="0"/>
          <w:numId w:val="4"/>
        </w:numPr>
        <w:snapToGrid w:val="0"/>
        <w:spacing w:line="560" w:lineRule="exact"/>
        <w:ind w:firstLine="643" w:firstLineChars="200"/>
        <w:rPr>
          <w:rFonts w:ascii="楷体" w:hAnsi="楷体" w:eastAsia="楷体" w:cs="楷体"/>
          <w:b/>
          <w:bCs/>
          <w:sz w:val="32"/>
          <w:szCs w:val="32"/>
        </w:rPr>
      </w:pPr>
      <w:r>
        <w:rPr>
          <w:rFonts w:hint="eastAsia" w:ascii="楷体" w:hAnsi="楷体" w:eastAsia="楷体" w:cs="楷体"/>
          <w:b/>
          <w:bCs/>
          <w:sz w:val="32"/>
          <w:szCs w:val="32"/>
          <w:lang w:bidi="ar"/>
        </w:rPr>
        <w:t>“防”：带菌田块的土壤药剂处理</w:t>
      </w:r>
    </w:p>
    <w:p w14:paraId="458B8374">
      <w:pPr>
        <w:snapToGrid w:val="0"/>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播种（移栽）前5-7天，结合整地，用50%氟啶胺悬浮剂250-300ml/亩对土壤表面进行喷淋，随喷淋随用旋耕机将喷淋过的土壤上下混匀（深度15-20cm），使药剂与土壤充分接触；定植后用10%</w:t>
      </w:r>
      <w:r>
        <w:fldChar w:fldCharType="begin"/>
      </w:r>
      <w:r>
        <w:instrText xml:space="preserve"> HYPERLINK "https://baike.so.com/doc/5956115-7116590.html" \t "C:\Users\Administrator.WINMICR-MMC1UAL\Desktop\_blank" </w:instrText>
      </w:r>
      <w:r>
        <w:fldChar w:fldCharType="separate"/>
      </w:r>
      <w:r>
        <w:rPr>
          <w:rStyle w:val="5"/>
          <w:rFonts w:hint="eastAsia" w:ascii="仿宋_GB2312" w:hAnsi="仿宋_GB2312" w:eastAsia="仿宋_GB2312" w:cs="仿宋_GB2312"/>
          <w:color w:val="auto"/>
          <w:sz w:val="28"/>
          <w:szCs w:val="28"/>
          <w:u w:val="none"/>
        </w:rPr>
        <w:t>氰霜唑</w:t>
      </w:r>
      <w:r>
        <w:rPr>
          <w:rStyle w:val="5"/>
          <w:rFonts w:hint="eastAsia" w:ascii="仿宋_GB2312" w:hAnsi="仿宋_GB2312" w:eastAsia="仿宋_GB2312" w:cs="仿宋_GB2312"/>
          <w:color w:val="auto"/>
          <w:sz w:val="28"/>
          <w:szCs w:val="28"/>
          <w:u w:val="none"/>
        </w:rPr>
        <w:fldChar w:fldCharType="end"/>
      </w:r>
      <w:r>
        <w:rPr>
          <w:rFonts w:hint="eastAsia" w:ascii="仿宋_GB2312" w:hAnsi="仿宋_GB2312" w:eastAsia="仿宋_GB2312" w:cs="仿宋_GB2312"/>
          <w:sz w:val="28"/>
          <w:szCs w:val="28"/>
          <w:lang w:bidi="ar"/>
        </w:rPr>
        <w:t>悬浮剂2000倍液，或100亿CFU/克‘枯草芽孢杆菌XF-1’可湿性粉剂500-650倍液进行灌根2-3次。</w:t>
      </w:r>
    </w:p>
    <w:p w14:paraId="2E1EF01F">
      <w:pPr>
        <w:snapToGrid w:val="0"/>
        <w:spacing w:line="560" w:lineRule="exact"/>
        <w:ind w:firstLine="640" w:firstLineChars="200"/>
        <w:rPr>
          <w:rFonts w:ascii="黑体" w:hAnsi="黑体" w:eastAsia="黑体" w:cs="黑体"/>
          <w:sz w:val="32"/>
          <w:szCs w:val="32"/>
          <w:lang w:bidi="ar"/>
        </w:rPr>
      </w:pPr>
      <w:r>
        <w:rPr>
          <w:rFonts w:hint="eastAsia" w:ascii="黑体" w:hAnsi="黑体" w:eastAsia="黑体" w:cs="黑体"/>
          <w:sz w:val="32"/>
          <w:szCs w:val="32"/>
          <w:lang w:bidi="ar"/>
        </w:rPr>
        <w:t>三、适宜区域</w:t>
      </w:r>
    </w:p>
    <w:p w14:paraId="7768CD6E">
      <w:pPr>
        <w:snapToGrid w:val="0"/>
        <w:spacing w:line="560" w:lineRule="exact"/>
        <w:ind w:firstLine="560" w:firstLineChars="200"/>
        <w:rPr>
          <w:rFonts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海拔1800m</w:t>
      </w:r>
      <w:r>
        <w:rPr>
          <w:rFonts w:hint="eastAsia" w:ascii="仿宋_GB2312" w:hAnsi="仿宋_GB2312" w:eastAsia="仿宋_GB2312" w:cs="仿宋_GB2312"/>
          <w:sz w:val="28"/>
          <w:szCs w:val="28"/>
          <w:lang w:val="en-US" w:eastAsia="zh-CN" w:bidi="ar"/>
        </w:rPr>
        <w:t>以下</w:t>
      </w:r>
      <w:r>
        <w:rPr>
          <w:rFonts w:hint="eastAsia" w:ascii="仿宋_GB2312" w:hAnsi="仿宋_GB2312" w:eastAsia="仿宋_GB2312" w:cs="仿宋_GB2312"/>
          <w:sz w:val="28"/>
          <w:szCs w:val="28"/>
          <w:lang w:bidi="ar"/>
        </w:rPr>
        <w:t>的十字花科作物生产区。</w:t>
      </w:r>
    </w:p>
    <w:p w14:paraId="47CE3E48">
      <w:pPr>
        <w:snapToGrid w:val="0"/>
        <w:spacing w:line="560" w:lineRule="exact"/>
        <w:ind w:firstLine="640" w:firstLineChars="200"/>
        <w:rPr>
          <w:rFonts w:ascii="黑体" w:hAnsi="黑体" w:eastAsia="黑体" w:cs="黑体"/>
          <w:sz w:val="32"/>
          <w:szCs w:val="32"/>
          <w:lang w:bidi="ar"/>
        </w:rPr>
      </w:pPr>
      <w:r>
        <w:rPr>
          <w:rFonts w:hint="eastAsia" w:ascii="黑体" w:hAnsi="黑体" w:eastAsia="黑体" w:cs="黑体"/>
          <w:sz w:val="32"/>
          <w:szCs w:val="32"/>
          <w:lang w:bidi="ar"/>
        </w:rPr>
        <w:t>四、注意事项</w:t>
      </w:r>
    </w:p>
    <w:p w14:paraId="0AA55B17">
      <w:pPr>
        <w:numPr>
          <w:ilvl w:val="0"/>
          <w:numId w:val="5"/>
        </w:numPr>
        <w:snapToGrid w:val="0"/>
        <w:spacing w:line="560" w:lineRule="exact"/>
        <w:ind w:firstLine="643" w:firstLineChars="200"/>
        <w:rPr>
          <w:rFonts w:ascii="仿宋_GB2312" w:hAnsi="仿宋_GB2312" w:eastAsia="仿宋_GB2312" w:cs="仿宋_GB2312"/>
          <w:sz w:val="28"/>
          <w:szCs w:val="28"/>
          <w:lang w:bidi="ar"/>
        </w:rPr>
      </w:pPr>
      <w:r>
        <w:rPr>
          <w:rFonts w:hint="eastAsia" w:ascii="仿宋_GB2312" w:hAnsi="仿宋_GB2312" w:eastAsia="仿宋_GB2312" w:cs="仿宋_GB2312"/>
          <w:b/>
          <w:bCs/>
          <w:sz w:val="32"/>
          <w:szCs w:val="32"/>
          <w:lang w:bidi="ar"/>
        </w:rPr>
        <w:t>病菌生理小种差异</w:t>
      </w:r>
      <w:r>
        <w:rPr>
          <w:rFonts w:hint="eastAsia" w:ascii="楷体" w:hAnsi="楷体" w:eastAsia="楷体" w:cs="楷体"/>
          <w:b/>
          <w:bCs/>
          <w:sz w:val="32"/>
          <w:szCs w:val="32"/>
          <w:lang w:bidi="ar"/>
        </w:rPr>
        <w:t>：</w:t>
      </w:r>
      <w:r>
        <w:rPr>
          <w:rFonts w:hint="eastAsia" w:ascii="仿宋_GB2312" w:hAnsi="仿宋_GB2312" w:eastAsia="仿宋_GB2312" w:cs="仿宋_GB2312"/>
          <w:sz w:val="28"/>
          <w:szCs w:val="28"/>
          <w:lang w:bidi="ar"/>
        </w:rPr>
        <w:t>不同生产区病菌生理小种可能不同，应先进行鉴定，选择抗（耐）相应生理小种的品种。</w:t>
      </w:r>
    </w:p>
    <w:p w14:paraId="4137BDCF">
      <w:pPr>
        <w:numPr>
          <w:ilvl w:val="0"/>
          <w:numId w:val="5"/>
        </w:numPr>
        <w:snapToGrid w:val="0"/>
        <w:spacing w:line="560" w:lineRule="exact"/>
        <w:ind w:firstLine="643" w:firstLineChars="200"/>
        <w:rPr>
          <w:rFonts w:ascii="仿宋_GB2312" w:hAnsi="仿宋_GB2312" w:eastAsia="仿宋_GB2312" w:cs="仿宋_GB2312"/>
          <w:sz w:val="28"/>
          <w:szCs w:val="28"/>
          <w:lang w:bidi="ar"/>
        </w:rPr>
      </w:pPr>
      <w:r>
        <w:rPr>
          <w:rFonts w:hint="eastAsia" w:ascii="仿宋_GB2312" w:hAnsi="仿宋_GB2312" w:eastAsia="仿宋_GB2312" w:cs="仿宋_GB2312"/>
          <w:b/>
          <w:bCs/>
          <w:sz w:val="32"/>
          <w:szCs w:val="32"/>
          <w:lang w:bidi="ar"/>
        </w:rPr>
        <w:t>无菌育苗的消毒：</w:t>
      </w:r>
      <w:r>
        <w:rPr>
          <w:rFonts w:hint="eastAsia" w:ascii="仿宋_GB2312" w:hAnsi="仿宋_GB2312" w:eastAsia="仿宋_GB2312" w:cs="仿宋_GB2312"/>
          <w:sz w:val="28"/>
          <w:szCs w:val="28"/>
          <w:lang w:bidi="ar"/>
        </w:rPr>
        <w:t>育苗前，对苗床、穴盘、基质、种子、营养液和育苗工具等严格消毒处理，防止粘附的土壤携带根肿病菌。</w:t>
      </w:r>
    </w:p>
    <w:p w14:paraId="643C20D6">
      <w:pPr>
        <w:numPr>
          <w:ilvl w:val="0"/>
          <w:numId w:val="5"/>
        </w:numPr>
        <w:snapToGrid w:val="0"/>
        <w:spacing w:line="560" w:lineRule="exact"/>
        <w:ind w:firstLine="643" w:firstLineChars="200"/>
        <w:rPr>
          <w:rFonts w:ascii="仿宋_GB2312" w:hAnsi="仿宋_GB2312" w:eastAsia="仿宋_GB2312" w:cs="仿宋_GB2312"/>
          <w:b/>
          <w:bCs/>
          <w:sz w:val="32"/>
          <w:szCs w:val="32"/>
          <w:lang w:bidi="ar"/>
        </w:rPr>
      </w:pPr>
      <w:r>
        <w:rPr>
          <w:rFonts w:hint="eastAsia" w:ascii="仿宋_GB2312" w:hAnsi="仿宋_GB2312" w:eastAsia="仿宋_GB2312" w:cs="仿宋_GB2312"/>
          <w:b/>
          <w:bCs/>
          <w:sz w:val="32"/>
          <w:szCs w:val="32"/>
          <w:lang w:bidi="ar"/>
        </w:rPr>
        <w:t>土壤处理</w:t>
      </w:r>
    </w:p>
    <w:p w14:paraId="49246663">
      <w:pPr>
        <w:snapToGrid w:val="0"/>
        <w:spacing w:line="560" w:lineRule="exact"/>
        <w:ind w:firstLine="560" w:firstLineChars="200"/>
        <w:rPr>
          <w:rFonts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①50%氟啶胺悬浮剂有拟制植物根系生长的副作用，可做育苗、移栽（播种）前土壤处理，一般不用于生长期灌根处理。</w:t>
      </w:r>
    </w:p>
    <w:p w14:paraId="32B57C71">
      <w:pPr>
        <w:snapToGrid w:val="0"/>
        <w:spacing w:line="560" w:lineRule="exact"/>
        <w:ind w:firstLine="560" w:firstLineChars="200"/>
        <w:rPr>
          <w:rFonts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②用药量：土壤处理时，每亩用50%氟啶胺悬浮剂250-300ml。</w:t>
      </w:r>
    </w:p>
    <w:p w14:paraId="7052E638">
      <w:pPr>
        <w:snapToGrid w:val="0"/>
        <w:spacing w:line="560" w:lineRule="exact"/>
        <w:ind w:firstLine="560" w:firstLineChars="200"/>
        <w:rPr>
          <w:rFonts w:ascii="黑体" w:hAnsi="黑体" w:eastAsia="黑体" w:cs="黑体"/>
          <w:sz w:val="28"/>
          <w:szCs w:val="28"/>
          <w:lang w:bidi="ar"/>
        </w:rPr>
      </w:pPr>
      <w:r>
        <w:rPr>
          <w:rFonts w:hint="eastAsia" w:ascii="仿宋_GB2312" w:hAnsi="仿宋_GB2312" w:eastAsia="仿宋_GB2312" w:cs="仿宋_GB2312"/>
          <w:sz w:val="28"/>
          <w:szCs w:val="28"/>
          <w:lang w:bidi="ar"/>
        </w:rPr>
        <w:t>③用药方法：一要保证药剂充分与土壤混合均匀，土粒越细，混合越均匀防治效果越好；二要掌握好土壤的湿度，土壤湿度以70%为宜，即“用手攥住成团、手松开就散”。</w:t>
      </w:r>
    </w:p>
    <w:p w14:paraId="47EE7BDE">
      <w:pPr>
        <w:snapToGrid w:val="0"/>
        <w:spacing w:line="560" w:lineRule="exact"/>
        <w:ind w:firstLine="640" w:firstLineChars="200"/>
        <w:rPr>
          <w:rFonts w:ascii="黑体" w:hAnsi="黑体" w:eastAsia="黑体" w:cs="黑体"/>
          <w:sz w:val="32"/>
          <w:szCs w:val="32"/>
          <w:lang w:bidi="ar"/>
        </w:rPr>
      </w:pPr>
      <w:r>
        <w:rPr>
          <w:rFonts w:hint="eastAsia" w:ascii="黑体" w:hAnsi="黑体" w:eastAsia="黑体" w:cs="黑体"/>
          <w:sz w:val="32"/>
          <w:szCs w:val="32"/>
          <w:lang w:bidi="ar"/>
        </w:rPr>
        <w:t>五、技术依托单位</w:t>
      </w:r>
    </w:p>
    <w:p w14:paraId="42DF1E2A">
      <w:pPr>
        <w:numPr>
          <w:ilvl w:val="0"/>
          <w:numId w:val="6"/>
        </w:numPr>
        <w:snapToGrid w:val="0"/>
        <w:spacing w:line="560" w:lineRule="exact"/>
        <w:ind w:firstLine="643" w:firstLineChars="200"/>
        <w:rPr>
          <w:rFonts w:ascii="仿宋_GB2312" w:hAnsi="仿宋_GB2312" w:eastAsia="仿宋_GB2312" w:cs="仿宋_GB2312"/>
          <w:b/>
          <w:bCs/>
          <w:sz w:val="32"/>
          <w:szCs w:val="32"/>
          <w:lang w:bidi="ar"/>
        </w:rPr>
      </w:pPr>
      <w:r>
        <w:rPr>
          <w:rFonts w:hint="eastAsia" w:ascii="仿宋_GB2312" w:hAnsi="仿宋_GB2312" w:eastAsia="仿宋_GB2312" w:cs="仿宋_GB2312"/>
          <w:b/>
          <w:bCs/>
          <w:sz w:val="32"/>
          <w:szCs w:val="32"/>
          <w:lang w:bidi="ar"/>
        </w:rPr>
        <w:t>单位名称：太白县农业技术推广服务中心</w:t>
      </w:r>
    </w:p>
    <w:p w14:paraId="763195C1">
      <w:pPr>
        <w:snapToGrid w:val="0"/>
        <w:spacing w:line="560" w:lineRule="exact"/>
        <w:ind w:firstLine="1120" w:firstLineChars="400"/>
        <w:rPr>
          <w:rFonts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联系地址：太白县世纪大道20号</w:t>
      </w:r>
    </w:p>
    <w:p w14:paraId="203A84B6">
      <w:pPr>
        <w:snapToGrid w:val="0"/>
        <w:spacing w:line="560" w:lineRule="exact"/>
        <w:ind w:firstLine="1120" w:firstLineChars="400"/>
        <w:rPr>
          <w:rFonts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邮政编码：721600</w:t>
      </w:r>
    </w:p>
    <w:p w14:paraId="58EC89CF">
      <w:pPr>
        <w:snapToGrid w:val="0"/>
        <w:spacing w:line="560" w:lineRule="exact"/>
        <w:ind w:firstLine="1120" w:firstLineChars="400"/>
        <w:rPr>
          <w:rFonts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联 系 人：赵志国</w:t>
      </w:r>
    </w:p>
    <w:p w14:paraId="4132BED1">
      <w:pPr>
        <w:snapToGrid w:val="0"/>
        <w:spacing w:line="560" w:lineRule="exact"/>
        <w:ind w:firstLine="1120" w:firstLineChars="400"/>
        <w:rPr>
          <w:rFonts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联系电话：13891742561</w:t>
      </w:r>
    </w:p>
    <w:p w14:paraId="6A208941">
      <w:pPr>
        <w:snapToGrid w:val="0"/>
        <w:spacing w:line="560" w:lineRule="exact"/>
        <w:ind w:firstLine="1120" w:firstLineChars="400"/>
        <w:rPr>
          <w:rFonts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电子邮箱：ztnjzh@163.com</w:t>
      </w:r>
    </w:p>
    <w:p w14:paraId="10DFBBB6">
      <w:pPr>
        <w:numPr>
          <w:ilvl w:val="0"/>
          <w:numId w:val="6"/>
        </w:numPr>
        <w:snapToGrid w:val="0"/>
        <w:spacing w:line="560" w:lineRule="exact"/>
        <w:ind w:firstLine="643" w:firstLineChars="200"/>
        <w:rPr>
          <w:rFonts w:hint="eastAsia" w:ascii="仿宋_GB2312" w:hAnsi="仿宋_GB2312" w:eastAsia="仿宋_GB2312" w:cs="仿宋_GB2312"/>
          <w:b/>
          <w:bCs/>
          <w:sz w:val="32"/>
          <w:szCs w:val="32"/>
          <w:lang w:bidi="ar"/>
        </w:rPr>
      </w:pPr>
      <w:r>
        <w:rPr>
          <w:rFonts w:hint="eastAsia" w:ascii="仿宋_GB2312" w:hAnsi="仿宋_GB2312" w:eastAsia="仿宋_GB2312" w:cs="仿宋_GB2312"/>
          <w:b/>
          <w:bCs/>
          <w:sz w:val="32"/>
          <w:szCs w:val="32"/>
          <w:lang w:bidi="ar"/>
        </w:rPr>
        <w:t>单位名称：西北农林科技大学园艺学院</w:t>
      </w:r>
    </w:p>
    <w:p w14:paraId="196EC3B9">
      <w:pPr>
        <w:snapToGrid w:val="0"/>
        <w:spacing w:line="560" w:lineRule="exact"/>
        <w:ind w:firstLine="1120" w:firstLineChars="4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联系地址：陕西 杨凌农业示范区 邰城路4号</w:t>
      </w:r>
    </w:p>
    <w:p w14:paraId="5DC848A4">
      <w:pPr>
        <w:snapToGrid w:val="0"/>
        <w:spacing w:line="560" w:lineRule="exact"/>
        <w:ind w:firstLine="1120" w:firstLineChars="4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邮政编码：</w:t>
      </w:r>
      <w:r>
        <w:rPr>
          <w:rFonts w:ascii="仿宋_GB2312" w:hAnsi="仿宋_GB2312" w:eastAsia="仿宋_GB2312" w:cs="仿宋_GB2312"/>
          <w:kern w:val="0"/>
          <w:sz w:val="28"/>
          <w:szCs w:val="28"/>
        </w:rPr>
        <w:t>712100</w:t>
      </w:r>
    </w:p>
    <w:p w14:paraId="20D541CF">
      <w:pPr>
        <w:snapToGrid w:val="0"/>
        <w:spacing w:line="560" w:lineRule="exact"/>
        <w:ind w:firstLine="1120" w:firstLineChars="4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联 系 人：赵利民</w:t>
      </w:r>
    </w:p>
    <w:p w14:paraId="0A647647">
      <w:pPr>
        <w:snapToGrid w:val="0"/>
        <w:spacing w:line="560" w:lineRule="exact"/>
        <w:ind w:firstLine="1120" w:firstLineChars="4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联系电话：</w:t>
      </w:r>
      <w:r>
        <w:rPr>
          <w:rFonts w:ascii="仿宋_GB2312" w:hAnsi="仿宋_GB2312" w:eastAsia="仿宋_GB2312" w:cs="仿宋_GB2312"/>
          <w:kern w:val="0"/>
          <w:sz w:val="28"/>
          <w:szCs w:val="28"/>
        </w:rPr>
        <w:t>13759980900</w:t>
      </w:r>
    </w:p>
    <w:p w14:paraId="13D45D7F">
      <w:pPr>
        <w:snapToGrid w:val="0"/>
        <w:spacing w:line="560" w:lineRule="exact"/>
        <w:ind w:firstLine="1120" w:firstLineChars="400"/>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电子邮箱：</w:t>
      </w:r>
      <w:r>
        <w:rPr>
          <w:rFonts w:ascii="仿宋_GB2312" w:hAnsi="仿宋_GB2312" w:eastAsia="仿宋_GB2312" w:cs="仿宋_GB2312"/>
          <w:kern w:val="0"/>
          <w:sz w:val="28"/>
          <w:szCs w:val="28"/>
        </w:rPr>
        <w:t>lmz211@126.com</w:t>
      </w:r>
    </w:p>
    <w:p w14:paraId="3752EFE2">
      <w:pPr>
        <w:numPr>
          <w:ilvl w:val="0"/>
          <w:numId w:val="6"/>
        </w:numPr>
        <w:snapToGrid w:val="0"/>
        <w:spacing w:line="560" w:lineRule="exact"/>
        <w:ind w:firstLine="643" w:firstLineChars="200"/>
        <w:rPr>
          <w:rFonts w:ascii="仿宋_GB2312" w:hAnsi="仿宋_GB2312" w:eastAsia="仿宋_GB2312" w:cs="仿宋_GB2312"/>
          <w:b/>
          <w:bCs/>
          <w:sz w:val="32"/>
          <w:szCs w:val="32"/>
          <w:lang w:bidi="ar"/>
        </w:rPr>
      </w:pPr>
      <w:r>
        <w:rPr>
          <w:rFonts w:hint="eastAsia" w:ascii="仿宋_GB2312" w:hAnsi="仿宋_GB2312" w:eastAsia="仿宋_GB2312" w:cs="仿宋_GB2312"/>
          <w:b/>
          <w:bCs/>
          <w:sz w:val="32"/>
          <w:szCs w:val="32"/>
          <w:lang w:bidi="ar"/>
        </w:rPr>
        <w:t>单位名称：</w:t>
      </w:r>
      <w:r>
        <w:rPr>
          <w:rFonts w:hint="eastAsia" w:ascii="仿宋_GB2312" w:hAnsi="仿宋_GB2312" w:eastAsia="仿宋_GB2312" w:cs="仿宋_GB2312"/>
          <w:b/>
          <w:bCs/>
          <w:sz w:val="32"/>
          <w:szCs w:val="32"/>
          <w:lang w:val="en-US" w:eastAsia="zh-CN" w:bidi="ar"/>
        </w:rPr>
        <w:t>国家大宗蔬菜试验示范（西安）站</w:t>
      </w:r>
      <w:r>
        <w:rPr>
          <w:rFonts w:hint="eastAsia" w:ascii="仿宋_GB2312" w:hAnsi="仿宋_GB2312" w:eastAsia="仿宋_GB2312" w:cs="仿宋_GB2312"/>
          <w:b/>
          <w:bCs/>
          <w:sz w:val="32"/>
          <w:szCs w:val="32"/>
          <w:lang w:eastAsia="zh-CN" w:bidi="ar"/>
        </w:rPr>
        <w:t>（</w:t>
      </w:r>
      <w:r>
        <w:rPr>
          <w:rFonts w:hint="eastAsia" w:ascii="仿宋_GB2312" w:hAnsi="仿宋_GB2312" w:eastAsia="仿宋_GB2312" w:cs="仿宋_GB2312"/>
          <w:b/>
          <w:bCs/>
          <w:sz w:val="32"/>
          <w:szCs w:val="32"/>
          <w:lang w:bidi="ar"/>
        </w:rPr>
        <w:t>西农大太白蔬菜试验示范站</w:t>
      </w:r>
      <w:r>
        <w:rPr>
          <w:rFonts w:hint="eastAsia" w:ascii="仿宋_GB2312" w:hAnsi="仿宋_GB2312" w:eastAsia="仿宋_GB2312" w:cs="仿宋_GB2312"/>
          <w:b/>
          <w:bCs/>
          <w:sz w:val="32"/>
          <w:szCs w:val="32"/>
          <w:lang w:eastAsia="zh-CN" w:bidi="ar"/>
        </w:rPr>
        <w:t>）</w:t>
      </w:r>
    </w:p>
    <w:p w14:paraId="37D0E115">
      <w:pPr>
        <w:snapToGrid w:val="0"/>
        <w:spacing w:line="560" w:lineRule="exact"/>
        <w:ind w:firstLine="1120" w:firstLineChars="400"/>
        <w:rPr>
          <w:rFonts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联系地址：太白县咀头镇方才关村</w:t>
      </w:r>
    </w:p>
    <w:p w14:paraId="4699AC7A">
      <w:pPr>
        <w:snapToGrid w:val="0"/>
        <w:spacing w:line="560" w:lineRule="exact"/>
        <w:ind w:firstLine="1120" w:firstLineChars="400"/>
        <w:rPr>
          <w:rFonts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邮政编码：721600</w:t>
      </w:r>
    </w:p>
    <w:p w14:paraId="4AA90F29">
      <w:pPr>
        <w:snapToGrid w:val="0"/>
        <w:spacing w:line="560" w:lineRule="exact"/>
        <w:ind w:firstLine="1120" w:firstLineChars="400"/>
        <w:rPr>
          <w:rFonts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联 系 人：惠麦侠</w:t>
      </w:r>
    </w:p>
    <w:p w14:paraId="47611D6B">
      <w:pPr>
        <w:snapToGrid w:val="0"/>
        <w:spacing w:line="560" w:lineRule="exact"/>
        <w:ind w:firstLine="1120" w:firstLineChars="400"/>
        <w:rPr>
          <w:rFonts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联系电话：17391662163</w:t>
      </w:r>
    </w:p>
    <w:p w14:paraId="3C8E41EE">
      <w:pPr>
        <w:snapToGrid w:val="0"/>
        <w:spacing w:line="560" w:lineRule="exact"/>
        <w:ind w:firstLine="1120" w:firstLineChars="400"/>
        <w:rPr>
          <w:rFonts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电子邮箱：</w:t>
      </w:r>
      <w:r>
        <w:rPr>
          <w:rFonts w:hint="eastAsia" w:ascii="仿宋_GB2312" w:hAnsi="仿宋_GB2312" w:eastAsia="仿宋_GB2312" w:cs="仿宋_GB2312"/>
          <w:sz w:val="28"/>
          <w:szCs w:val="28"/>
        </w:rPr>
        <w:t>maixiahui@163.com</w:t>
      </w:r>
    </w:p>
    <w:p w14:paraId="2F0E5AFF">
      <w:pPr>
        <w:numPr>
          <w:ilvl w:val="0"/>
          <w:numId w:val="6"/>
        </w:numPr>
        <w:snapToGrid w:val="0"/>
        <w:spacing w:line="560" w:lineRule="exact"/>
        <w:ind w:firstLine="643" w:firstLineChars="200"/>
        <w:rPr>
          <w:rFonts w:hint="eastAsia" w:ascii="仿宋_GB2312" w:hAnsi="仿宋_GB2312" w:eastAsia="仿宋_GB2312" w:cs="仿宋_GB2312"/>
          <w:b/>
          <w:bCs/>
          <w:sz w:val="32"/>
          <w:szCs w:val="32"/>
          <w:lang w:bidi="ar"/>
        </w:rPr>
      </w:pPr>
      <w:r>
        <w:rPr>
          <w:rFonts w:hint="eastAsia" w:ascii="仿宋_GB2312" w:hAnsi="仿宋_GB2312" w:eastAsia="仿宋_GB2312" w:cs="仿宋_GB2312"/>
          <w:b/>
          <w:bCs/>
          <w:sz w:val="32"/>
          <w:szCs w:val="32"/>
          <w:lang w:bidi="ar"/>
        </w:rPr>
        <w:t>单位名称：陕西省蔬菜产业技术体系</w:t>
      </w:r>
    </w:p>
    <w:p w14:paraId="204BBEE8">
      <w:pPr>
        <w:snapToGrid w:val="0"/>
        <w:spacing w:line="560" w:lineRule="exact"/>
        <w:ind w:firstLine="1120" w:firstLineChars="4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联系地址：陕西 杨凌农业示范区 邰城路4号</w:t>
      </w:r>
    </w:p>
    <w:p w14:paraId="540EEB51">
      <w:pPr>
        <w:snapToGrid w:val="0"/>
        <w:spacing w:line="560" w:lineRule="exact"/>
        <w:ind w:firstLine="1120" w:firstLineChars="4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邮政编码：</w:t>
      </w:r>
      <w:r>
        <w:rPr>
          <w:rFonts w:ascii="仿宋_GB2312" w:hAnsi="仿宋_GB2312" w:eastAsia="仿宋_GB2312" w:cs="仿宋_GB2312"/>
          <w:kern w:val="0"/>
          <w:sz w:val="28"/>
          <w:szCs w:val="28"/>
        </w:rPr>
        <w:t>712100</w:t>
      </w:r>
    </w:p>
    <w:p w14:paraId="65788F20">
      <w:pPr>
        <w:snapToGrid w:val="0"/>
        <w:spacing w:line="560" w:lineRule="exact"/>
        <w:ind w:firstLine="1120" w:firstLineChars="4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联 系 人：李建明</w:t>
      </w:r>
    </w:p>
    <w:p w14:paraId="2124F048">
      <w:pPr>
        <w:snapToGrid w:val="0"/>
        <w:spacing w:line="560" w:lineRule="exact"/>
        <w:ind w:firstLine="1120" w:firstLineChars="400"/>
        <w:rPr>
          <w:rFonts w:hint="default"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rPr>
        <w:t>联系电话：</w:t>
      </w:r>
      <w:r>
        <w:rPr>
          <w:rFonts w:hint="eastAsia" w:ascii="仿宋_GB2312" w:hAnsi="仿宋_GB2312" w:eastAsia="仿宋_GB2312" w:cs="仿宋_GB2312"/>
          <w:kern w:val="0"/>
          <w:sz w:val="28"/>
          <w:szCs w:val="28"/>
          <w:lang w:val="en-US" w:eastAsia="zh-CN"/>
        </w:rPr>
        <w:t>15877327126</w:t>
      </w:r>
    </w:p>
    <w:p w14:paraId="77C3BE6E">
      <w:pPr>
        <w:snapToGrid w:val="0"/>
        <w:spacing w:line="560" w:lineRule="exact"/>
        <w:ind w:firstLine="1120" w:firstLineChars="400"/>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电子邮箱：</w:t>
      </w:r>
      <w:r>
        <w:rPr>
          <w:rFonts w:ascii="仿宋_GB2312" w:hAnsi="仿宋_GB2312" w:eastAsia="仿宋_GB2312" w:cs="仿宋_GB2312"/>
          <w:kern w:val="0"/>
          <w:sz w:val="28"/>
          <w:szCs w:val="28"/>
        </w:rPr>
        <w:t>lijianming66@163.com</w:t>
      </w:r>
    </w:p>
    <w:p w14:paraId="69230648">
      <w:pPr>
        <w:numPr>
          <w:ilvl w:val="0"/>
          <w:numId w:val="6"/>
        </w:numPr>
        <w:snapToGrid w:val="0"/>
        <w:spacing w:line="560" w:lineRule="exact"/>
        <w:ind w:firstLine="643" w:firstLineChars="200"/>
        <w:rPr>
          <w:rFonts w:hint="eastAsia" w:ascii="仿宋_GB2312" w:hAnsi="仿宋_GB2312" w:eastAsia="仿宋_GB2312" w:cs="仿宋_GB2312"/>
          <w:b/>
          <w:bCs/>
          <w:sz w:val="32"/>
          <w:szCs w:val="32"/>
          <w:lang w:bidi="ar"/>
        </w:rPr>
      </w:pPr>
      <w:r>
        <w:rPr>
          <w:rFonts w:hint="eastAsia" w:ascii="仿宋_GB2312" w:hAnsi="仿宋_GB2312" w:eastAsia="仿宋_GB2312" w:cs="仿宋_GB2312"/>
          <w:b/>
          <w:bCs/>
          <w:sz w:val="32"/>
          <w:szCs w:val="32"/>
          <w:lang w:bidi="ar"/>
        </w:rPr>
        <w:t>单位名称：秦巴高山蔬菜研究院</w:t>
      </w:r>
    </w:p>
    <w:p w14:paraId="4C3B2641">
      <w:pPr>
        <w:snapToGrid w:val="0"/>
        <w:spacing w:line="560" w:lineRule="exact"/>
        <w:ind w:firstLine="1120" w:firstLineChars="400"/>
        <w:rPr>
          <w:rFonts w:hint="eastAsia" w:ascii="仿宋_GB2312" w:hAnsi="仿宋_GB2312" w:eastAsia="仿宋_GB2312" w:cs="仿宋_GB2312"/>
          <w:kern w:val="0"/>
          <w:sz w:val="28"/>
          <w:szCs w:val="28"/>
          <w:lang w:eastAsia="zh-CN"/>
        </w:rPr>
      </w:pPr>
      <w:r>
        <w:rPr>
          <w:rFonts w:hint="eastAsia" w:ascii="仿宋_GB2312" w:hAnsi="仿宋_GB2312" w:eastAsia="仿宋_GB2312" w:cs="仿宋_GB2312"/>
          <w:kern w:val="0"/>
          <w:sz w:val="28"/>
          <w:szCs w:val="28"/>
        </w:rPr>
        <w:t>联系地址：</w:t>
      </w:r>
      <w:r>
        <w:rPr>
          <w:rFonts w:hint="eastAsia" w:ascii="仿宋_GB2312" w:hAnsi="仿宋_GB2312" w:eastAsia="仿宋_GB2312" w:cs="仿宋_GB2312"/>
          <w:sz w:val="28"/>
          <w:szCs w:val="28"/>
          <w:lang w:bidi="ar"/>
        </w:rPr>
        <w:t>太白县世纪大道20号</w:t>
      </w:r>
      <w:r>
        <w:rPr>
          <w:rFonts w:hint="eastAsia" w:ascii="仿宋_GB2312" w:hAnsi="仿宋_GB2312" w:eastAsia="仿宋_GB2312" w:cs="仿宋_GB2312"/>
          <w:sz w:val="28"/>
          <w:szCs w:val="28"/>
          <w:lang w:eastAsia="zh-CN" w:bidi="ar"/>
        </w:rPr>
        <w:t>（</w:t>
      </w:r>
      <w:r>
        <w:rPr>
          <w:rFonts w:hint="eastAsia" w:ascii="仿宋_GB2312" w:hAnsi="仿宋_GB2312" w:eastAsia="仿宋_GB2312" w:cs="仿宋_GB2312"/>
          <w:sz w:val="28"/>
          <w:szCs w:val="28"/>
          <w:lang w:val="en-US" w:eastAsia="zh-CN" w:bidi="ar"/>
        </w:rPr>
        <w:t>太白分院</w:t>
      </w:r>
      <w:r>
        <w:rPr>
          <w:rFonts w:hint="eastAsia" w:ascii="仿宋_GB2312" w:hAnsi="仿宋_GB2312" w:eastAsia="仿宋_GB2312" w:cs="仿宋_GB2312"/>
          <w:sz w:val="28"/>
          <w:szCs w:val="28"/>
          <w:lang w:eastAsia="zh-CN" w:bidi="ar"/>
        </w:rPr>
        <w:t>）</w:t>
      </w:r>
    </w:p>
    <w:p w14:paraId="4A62418B">
      <w:pPr>
        <w:snapToGrid w:val="0"/>
        <w:spacing w:line="560" w:lineRule="exact"/>
        <w:ind w:firstLine="1120" w:firstLineChars="4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邮政编码：</w:t>
      </w:r>
      <w:r>
        <w:rPr>
          <w:rFonts w:hint="eastAsia" w:ascii="仿宋_GB2312" w:hAnsi="仿宋_GB2312" w:eastAsia="仿宋_GB2312" w:cs="仿宋_GB2312"/>
          <w:sz w:val="28"/>
          <w:szCs w:val="28"/>
          <w:lang w:bidi="ar"/>
        </w:rPr>
        <w:t>721600</w:t>
      </w:r>
    </w:p>
    <w:p w14:paraId="2431F0B0">
      <w:pPr>
        <w:snapToGrid w:val="0"/>
        <w:spacing w:line="560" w:lineRule="exact"/>
        <w:ind w:firstLine="1120" w:firstLineChars="400"/>
        <w:rPr>
          <w:rFonts w:hint="default"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rPr>
        <w:t>联 系 人：</w:t>
      </w:r>
      <w:r>
        <w:rPr>
          <w:rFonts w:hint="eastAsia" w:ascii="仿宋_GB2312" w:hAnsi="仿宋_GB2312" w:eastAsia="仿宋_GB2312" w:cs="仿宋_GB2312"/>
          <w:kern w:val="0"/>
          <w:sz w:val="28"/>
          <w:szCs w:val="28"/>
          <w:lang w:val="en-US" w:eastAsia="zh-CN"/>
        </w:rPr>
        <w:t>程永安</w:t>
      </w:r>
    </w:p>
    <w:p w14:paraId="5DAF8257">
      <w:pPr>
        <w:snapToGrid w:val="0"/>
        <w:spacing w:line="560" w:lineRule="exact"/>
        <w:ind w:firstLine="1120" w:firstLineChars="4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联系电话：13992812390</w:t>
      </w:r>
    </w:p>
    <w:p w14:paraId="3827A8DA">
      <w:pPr>
        <w:snapToGrid w:val="0"/>
        <w:spacing w:line="560" w:lineRule="exact"/>
        <w:ind w:firstLine="1120" w:firstLineChars="400"/>
        <w:rPr>
          <w:rFonts w:ascii="仿宋_GB2312" w:hAnsi="仿宋_GB2312" w:eastAsia="仿宋_GB2312" w:cs="仿宋_GB2312"/>
          <w:kern w:val="0"/>
          <w:sz w:val="28"/>
          <w:szCs w:val="28"/>
          <w:u w:val="single"/>
        </w:rPr>
      </w:pPr>
      <w:r>
        <w:rPr>
          <w:rFonts w:hint="eastAsia" w:ascii="仿宋_GB2312" w:hAnsi="仿宋_GB2312" w:eastAsia="仿宋_GB2312" w:cs="仿宋_GB2312"/>
          <w:kern w:val="0"/>
          <w:sz w:val="28"/>
          <w:szCs w:val="28"/>
        </w:rPr>
        <w:t>电子邮箱：Yongan27</w:t>
      </w:r>
      <w:r>
        <w:rPr>
          <w:rFonts w:hint="eastAsia" w:ascii="仿宋_GB2312" w:hAnsi="仿宋_GB2312" w:eastAsia="仿宋_GB2312" w:cs="仿宋_GB2312"/>
          <w:kern w:val="0"/>
          <w:sz w:val="28"/>
          <w:szCs w:val="28"/>
          <w:lang w:val="en-US" w:eastAsia="zh-CN"/>
        </w:rPr>
        <w:t>@</w:t>
      </w:r>
      <w:r>
        <w:rPr>
          <w:rFonts w:hint="eastAsia" w:ascii="仿宋_GB2312" w:hAnsi="仿宋_GB2312" w:eastAsia="仿宋_GB2312" w:cs="仿宋_GB2312"/>
          <w:kern w:val="0"/>
          <w:sz w:val="28"/>
          <w:szCs w:val="28"/>
        </w:rPr>
        <w:t>163.com</w:t>
      </w:r>
    </w:p>
    <w:p w14:paraId="34F9E0FF">
      <w:pPr>
        <w:numPr>
          <w:ilvl w:val="0"/>
          <w:numId w:val="6"/>
        </w:numPr>
        <w:snapToGrid w:val="0"/>
        <w:spacing w:line="560" w:lineRule="exact"/>
        <w:ind w:firstLine="643" w:firstLineChars="200"/>
        <w:rPr>
          <w:rFonts w:ascii="仿宋_GB2312" w:hAnsi="仿宋_GB2312" w:eastAsia="仿宋_GB2312" w:cs="仿宋_GB2312"/>
          <w:b/>
          <w:bCs/>
          <w:sz w:val="32"/>
          <w:szCs w:val="32"/>
          <w:lang w:bidi="ar"/>
        </w:rPr>
      </w:pPr>
      <w:r>
        <w:rPr>
          <w:rFonts w:hint="eastAsia" w:ascii="仿宋_GB2312" w:hAnsi="仿宋_GB2312" w:eastAsia="仿宋_GB2312" w:cs="仿宋_GB2312"/>
          <w:b/>
          <w:bCs/>
          <w:sz w:val="32"/>
          <w:szCs w:val="32"/>
          <w:lang w:bidi="ar"/>
        </w:rPr>
        <w:t>单位名称：太白高山蔬菜研究院</w:t>
      </w:r>
    </w:p>
    <w:p w14:paraId="2E011625">
      <w:pPr>
        <w:snapToGrid w:val="0"/>
        <w:spacing w:line="560" w:lineRule="exact"/>
        <w:ind w:firstLine="1120" w:firstLineChars="400"/>
        <w:rPr>
          <w:rFonts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联系地址：太白县世纪大道20号</w:t>
      </w:r>
    </w:p>
    <w:p w14:paraId="1254C233">
      <w:pPr>
        <w:snapToGrid w:val="0"/>
        <w:spacing w:line="560" w:lineRule="exact"/>
        <w:ind w:firstLine="1120" w:firstLineChars="400"/>
        <w:rPr>
          <w:rFonts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邮政编码：721600</w:t>
      </w:r>
    </w:p>
    <w:p w14:paraId="29CAFD68">
      <w:pPr>
        <w:snapToGrid w:val="0"/>
        <w:spacing w:line="560" w:lineRule="exact"/>
        <w:ind w:firstLine="1120" w:firstLineChars="400"/>
        <w:rPr>
          <w:rFonts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联 系 人：宫健鸿</w:t>
      </w:r>
    </w:p>
    <w:p w14:paraId="4EA6FF50">
      <w:pPr>
        <w:snapToGrid w:val="0"/>
        <w:spacing w:line="560" w:lineRule="exact"/>
        <w:ind w:firstLine="1120" w:firstLineChars="400"/>
        <w:rPr>
          <w:rFonts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联系电话：13892448899</w:t>
      </w:r>
    </w:p>
    <w:p w14:paraId="6F029496">
      <w:pPr>
        <w:snapToGrid w:val="0"/>
        <w:spacing w:line="560" w:lineRule="exact"/>
        <w:ind w:firstLine="1120" w:firstLineChars="400"/>
        <w:rPr>
          <w:rFonts w:ascii="仿宋_GB2312" w:hAnsi="仿宋_GB2312" w:eastAsia="仿宋_GB2312" w:cs="仿宋_GB2312"/>
          <w:kern w:val="0"/>
          <w:sz w:val="28"/>
          <w:szCs w:val="28"/>
        </w:rPr>
      </w:pPr>
      <w:r>
        <w:rPr>
          <w:rFonts w:hint="eastAsia" w:ascii="仿宋_GB2312" w:hAnsi="仿宋_GB2312" w:eastAsia="仿宋_GB2312" w:cs="仿宋_GB2312"/>
          <w:sz w:val="28"/>
          <w:szCs w:val="28"/>
          <w:lang w:bidi="ar"/>
        </w:rPr>
        <w:t>电子邮箱：</w:t>
      </w:r>
      <w:r>
        <w:fldChar w:fldCharType="begin"/>
      </w:r>
      <w:r>
        <w:instrText xml:space="preserve"> HYPERLINK "mailto:QL4956799@163.com" </w:instrText>
      </w:r>
      <w:r>
        <w:fldChar w:fldCharType="separate"/>
      </w:r>
      <w:r>
        <w:rPr>
          <w:rStyle w:val="5"/>
          <w:rFonts w:hint="eastAsia" w:ascii="仿宋_GB2312" w:hAnsi="仿宋_GB2312" w:eastAsia="仿宋_GB2312" w:cs="仿宋_GB2312"/>
          <w:color w:val="auto"/>
          <w:kern w:val="0"/>
          <w:sz w:val="28"/>
          <w:szCs w:val="28"/>
          <w:u w:val="none"/>
        </w:rPr>
        <w:t>QL4956799@163.com</w:t>
      </w:r>
      <w:r>
        <w:rPr>
          <w:rStyle w:val="5"/>
          <w:rFonts w:hint="eastAsia" w:ascii="仿宋_GB2312" w:hAnsi="仿宋_GB2312" w:eastAsia="仿宋_GB2312" w:cs="仿宋_GB2312"/>
          <w:color w:val="auto"/>
          <w:kern w:val="0"/>
          <w:sz w:val="28"/>
          <w:szCs w:val="28"/>
          <w:u w:val="none"/>
        </w:rPr>
        <w:fldChar w:fldCharType="end"/>
      </w:r>
    </w:p>
    <w:p w14:paraId="4518BA8A">
      <w:pPr>
        <w:numPr>
          <w:ilvl w:val="0"/>
          <w:numId w:val="7"/>
        </w:numPr>
        <w:snapToGrid w:val="0"/>
        <w:spacing w:line="560" w:lineRule="exact"/>
        <w:ind w:firstLine="640" w:firstLineChars="200"/>
        <w:rPr>
          <w:rFonts w:ascii="黑体" w:hAnsi="黑体" w:eastAsia="黑体" w:cs="黑体"/>
          <w:kern w:val="0"/>
          <w:sz w:val="32"/>
          <w:szCs w:val="32"/>
        </w:rPr>
      </w:pPr>
      <w:r>
        <w:rPr>
          <w:rFonts w:hint="eastAsia" w:ascii="黑体" w:hAnsi="黑体" w:eastAsia="黑体" w:cs="黑体"/>
          <w:kern w:val="0"/>
          <w:sz w:val="32"/>
          <w:szCs w:val="32"/>
        </w:rPr>
        <w:t>附件材料</w:t>
      </w:r>
    </w:p>
    <w:p w14:paraId="41178BA2">
      <w:pPr>
        <w:numPr>
          <w:ilvl w:val="0"/>
          <w:numId w:val="8"/>
        </w:numPr>
        <w:snapToGrid w:val="0"/>
        <w:spacing w:line="560" w:lineRule="exact"/>
        <w:ind w:firstLine="640" w:firstLineChars="200"/>
        <w:rPr>
          <w:rFonts w:ascii="楷体" w:hAnsi="楷体" w:eastAsia="楷体" w:cs="楷体"/>
          <w:kern w:val="0"/>
          <w:sz w:val="32"/>
          <w:szCs w:val="32"/>
        </w:rPr>
      </w:pPr>
      <w:r>
        <w:rPr>
          <w:rFonts w:hint="eastAsia" w:ascii="楷体" w:hAnsi="楷体" w:eastAsia="楷体" w:cs="楷体"/>
          <w:kern w:val="0"/>
          <w:sz w:val="32"/>
          <w:szCs w:val="32"/>
        </w:rPr>
        <w:t>获奖照片2张；</w:t>
      </w:r>
    </w:p>
    <w:p w14:paraId="38587EE6">
      <w:pPr>
        <w:numPr>
          <w:ilvl w:val="0"/>
          <w:numId w:val="8"/>
        </w:numPr>
        <w:snapToGrid w:val="0"/>
        <w:spacing w:line="560" w:lineRule="exact"/>
        <w:ind w:firstLine="640" w:firstLineChars="200"/>
        <w:rPr>
          <w:rFonts w:ascii="楷体" w:hAnsi="楷体" w:eastAsia="楷体" w:cs="楷体"/>
          <w:kern w:val="0"/>
          <w:sz w:val="32"/>
          <w:szCs w:val="32"/>
        </w:rPr>
      </w:pPr>
      <w:r>
        <w:rPr>
          <w:rFonts w:hint="eastAsia" w:ascii="楷体" w:hAnsi="楷体" w:eastAsia="楷体" w:cs="楷体"/>
          <w:kern w:val="0"/>
          <w:sz w:val="32"/>
          <w:szCs w:val="32"/>
        </w:rPr>
        <w:t>推广应用证明</w:t>
      </w:r>
      <w:r>
        <w:rPr>
          <w:rFonts w:hint="eastAsia" w:ascii="楷体" w:hAnsi="楷体" w:eastAsia="楷体" w:cs="楷体"/>
          <w:kern w:val="0"/>
          <w:sz w:val="32"/>
          <w:szCs w:val="32"/>
          <w:lang w:val="en-US" w:eastAsia="zh-CN"/>
        </w:rPr>
        <w:t>8</w:t>
      </w:r>
      <w:r>
        <w:rPr>
          <w:rFonts w:hint="eastAsia" w:ascii="楷体" w:hAnsi="楷体" w:eastAsia="楷体" w:cs="楷体"/>
          <w:kern w:val="0"/>
          <w:sz w:val="32"/>
          <w:szCs w:val="32"/>
        </w:rPr>
        <w:t>份。</w:t>
      </w:r>
    </w:p>
    <w:p w14:paraId="06AECFF5">
      <w:pPr>
        <w:snapToGrid w:val="0"/>
        <w:spacing w:line="560" w:lineRule="exact"/>
        <w:rPr>
          <w:rFonts w:ascii="楷体" w:hAnsi="楷体" w:eastAsia="楷体" w:cs="楷体"/>
          <w:kern w:val="0"/>
          <w:sz w:val="32"/>
          <w:szCs w:val="32"/>
        </w:rPr>
      </w:pPr>
    </w:p>
    <w:p w14:paraId="6CE01B1C">
      <w:pPr>
        <w:rPr>
          <w:rFonts w:ascii="黑体" w:hAnsi="黑体" w:eastAsia="黑体" w:cs="黑体"/>
          <w:kern w:val="0"/>
          <w:sz w:val="32"/>
          <w:szCs w:val="32"/>
        </w:rPr>
      </w:pPr>
      <w:r>
        <w:rPr>
          <w:rFonts w:hint="eastAsia" w:ascii="黑体" w:hAnsi="黑体" w:eastAsia="黑体" w:cs="黑体"/>
          <w:kern w:val="0"/>
          <w:sz w:val="32"/>
          <w:szCs w:val="32"/>
        </w:rPr>
        <w:br w:type="page"/>
      </w:r>
    </w:p>
    <w:p w14:paraId="414F04A5">
      <w:pPr>
        <w:rPr>
          <w:rFonts w:hint="eastAsia" w:asciiTheme="minorEastAsia" w:hAnsiTheme="minorEastAsia" w:eastAsiaTheme="minorEastAsia" w:cstheme="minorEastAsia"/>
          <w:sz w:val="32"/>
          <w:szCs w:val="32"/>
          <w:lang w:eastAsia="zh-CN"/>
        </w:rPr>
      </w:pPr>
      <w:r>
        <w:rPr>
          <w:rFonts w:hint="eastAsia" w:asciiTheme="minorEastAsia" w:hAnsiTheme="minorEastAsia" w:cstheme="minorEastAsia"/>
          <w:sz w:val="32"/>
          <w:szCs w:val="32"/>
        </w:rPr>
        <w:t>1、获奖照片</w:t>
      </w:r>
      <w:r>
        <w:rPr>
          <w:rFonts w:hint="eastAsia" w:asciiTheme="minorEastAsia" w:hAnsiTheme="minorEastAsia" w:cstheme="minorEastAsia"/>
          <w:sz w:val="32"/>
          <w:szCs w:val="32"/>
          <w:lang w:eastAsia="zh-CN"/>
        </w:rPr>
        <w:t>（</w:t>
      </w:r>
      <w:r>
        <w:rPr>
          <w:rFonts w:hint="eastAsia" w:asciiTheme="minorEastAsia" w:hAnsiTheme="minorEastAsia" w:cstheme="minorEastAsia"/>
          <w:sz w:val="32"/>
          <w:szCs w:val="32"/>
          <w:lang w:val="en-US" w:eastAsia="zh-CN"/>
        </w:rPr>
        <w:t>2个</w:t>
      </w:r>
      <w:r>
        <w:rPr>
          <w:rFonts w:hint="eastAsia" w:asciiTheme="minorEastAsia" w:hAnsiTheme="minorEastAsia" w:cstheme="minorEastAsia"/>
          <w:sz w:val="32"/>
          <w:szCs w:val="32"/>
          <w:lang w:eastAsia="zh-CN"/>
        </w:rPr>
        <w:t>）</w:t>
      </w:r>
    </w:p>
    <w:p w14:paraId="35F4269C">
      <w:pPr>
        <w:rPr>
          <w:rFonts w:asciiTheme="minorEastAsia" w:hAnsiTheme="minorEastAsia" w:cstheme="minorEastAsia"/>
          <w:sz w:val="32"/>
          <w:szCs w:val="32"/>
        </w:rPr>
      </w:pPr>
      <w:r>
        <w:rPr>
          <w:rFonts w:hint="eastAsia" w:asciiTheme="minorEastAsia" w:hAnsiTheme="minorEastAsia" w:cstheme="minorEastAsia"/>
          <w:sz w:val="32"/>
          <w:szCs w:val="32"/>
        </w:rPr>
        <w:drawing>
          <wp:anchor distT="0" distB="0" distL="114300" distR="114300" simplePos="0" relativeHeight="251663360" behindDoc="0" locked="0" layoutInCell="1" allowOverlap="1">
            <wp:simplePos x="0" y="0"/>
            <wp:positionH relativeFrom="column">
              <wp:posOffset>-161925</wp:posOffset>
            </wp:positionH>
            <wp:positionV relativeFrom="paragraph">
              <wp:posOffset>85725</wp:posOffset>
            </wp:positionV>
            <wp:extent cx="5705475" cy="7960995"/>
            <wp:effectExtent l="0" t="0" r="9525" b="1905"/>
            <wp:wrapSquare wrapText="bothSides"/>
            <wp:docPr id="12" name="图片 12" descr="541c2afce787cbdecda3e84baa6ac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41c2afce787cbdecda3e84baa6ace5"/>
                    <pic:cNvPicPr>
                      <a:picLocks noChangeAspect="1"/>
                    </pic:cNvPicPr>
                  </pic:nvPicPr>
                  <pic:blipFill>
                    <a:blip r:embed="rId7"/>
                    <a:srcRect l="3961" t="2817" r="5821" b="2781"/>
                    <a:stretch>
                      <a:fillRect/>
                    </a:stretch>
                  </pic:blipFill>
                  <pic:spPr>
                    <a:xfrm>
                      <a:off x="0" y="0"/>
                      <a:ext cx="5705475" cy="7960995"/>
                    </a:xfrm>
                    <a:prstGeom prst="rect">
                      <a:avLst/>
                    </a:prstGeom>
                  </pic:spPr>
                </pic:pic>
              </a:graphicData>
            </a:graphic>
          </wp:anchor>
        </w:drawing>
      </w:r>
    </w:p>
    <w:p w14:paraId="1A4BD362">
      <w:pPr>
        <w:jc w:val="left"/>
        <w:rPr>
          <w:rFonts w:hint="eastAsia" w:asciiTheme="minorEastAsia" w:hAnsiTheme="minorEastAsia" w:cstheme="minorEastAsia"/>
          <w:sz w:val="32"/>
          <w:szCs w:val="32"/>
        </w:rPr>
      </w:pPr>
      <w:r>
        <w:rPr>
          <w:rFonts w:hint="eastAsia" w:asciiTheme="minorEastAsia" w:hAnsiTheme="minorEastAsia" w:cstheme="minorEastAsia"/>
          <w:sz w:val="32"/>
          <w:szCs w:val="32"/>
        </w:rPr>
        <w:drawing>
          <wp:anchor distT="0" distB="0" distL="114300" distR="114300" simplePos="0" relativeHeight="251662336" behindDoc="0" locked="0" layoutInCell="1" allowOverlap="1">
            <wp:simplePos x="0" y="0"/>
            <wp:positionH relativeFrom="column">
              <wp:posOffset>-1267460</wp:posOffset>
            </wp:positionH>
            <wp:positionV relativeFrom="paragraph">
              <wp:posOffset>1224280</wp:posOffset>
            </wp:positionV>
            <wp:extent cx="8060055" cy="5830570"/>
            <wp:effectExtent l="0" t="0" r="17780" b="17145"/>
            <wp:wrapSquare wrapText="bothSides"/>
            <wp:docPr id="13" name="图片 13" descr="90145c02318c7817810f143327251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0145c02318c7817810f143327251d4"/>
                    <pic:cNvPicPr>
                      <a:picLocks noChangeAspect="1"/>
                    </pic:cNvPicPr>
                  </pic:nvPicPr>
                  <pic:blipFill>
                    <a:blip r:embed="rId8"/>
                    <a:srcRect l="2708" t="3659" r="2446" b="4855"/>
                    <a:stretch>
                      <a:fillRect/>
                    </a:stretch>
                  </pic:blipFill>
                  <pic:spPr>
                    <a:xfrm rot="5400000">
                      <a:off x="0" y="0"/>
                      <a:ext cx="8060055" cy="5830570"/>
                    </a:xfrm>
                    <a:prstGeom prst="rect">
                      <a:avLst/>
                    </a:prstGeom>
                  </pic:spPr>
                </pic:pic>
              </a:graphicData>
            </a:graphic>
          </wp:anchor>
        </w:drawing>
      </w:r>
    </w:p>
    <w:p w14:paraId="04107C0C">
      <w:pPr>
        <w:keepNext w:val="0"/>
        <w:keepLines w:val="0"/>
        <w:pageBreakBefore w:val="0"/>
        <w:widowControl w:val="0"/>
        <w:numPr>
          <w:ilvl w:val="0"/>
          <w:numId w:val="8"/>
        </w:numPr>
        <w:kinsoku/>
        <w:wordWrap/>
        <w:overflowPunct/>
        <w:topLinePunct w:val="0"/>
        <w:autoSpaceDE/>
        <w:autoSpaceDN/>
        <w:bidi w:val="0"/>
        <w:adjustRightInd/>
        <w:snapToGrid/>
        <w:ind w:left="0" w:leftChars="0" w:firstLine="640" w:firstLineChars="200"/>
        <w:jc w:val="left"/>
        <w:textAlignment w:val="auto"/>
        <w:rPr>
          <w:rFonts w:hint="eastAsia" w:asciiTheme="minorEastAsia" w:hAnsiTheme="minorEastAsia" w:cstheme="minorEastAsia"/>
          <w:sz w:val="32"/>
          <w:szCs w:val="32"/>
          <w:lang w:val="en-US" w:eastAsia="zh-CN"/>
        </w:rPr>
      </w:pPr>
      <w:r>
        <w:rPr>
          <w:rFonts w:hint="default" w:asciiTheme="minorEastAsia" w:hAnsiTheme="minorEastAsia" w:cstheme="minorEastAsia"/>
          <w:sz w:val="32"/>
          <w:szCs w:val="32"/>
          <w:lang w:val="en-US" w:eastAsia="zh-CN"/>
        </w:rPr>
        <w:drawing>
          <wp:anchor distT="0" distB="0" distL="114300" distR="114300" simplePos="0" relativeHeight="251664384" behindDoc="0" locked="0" layoutInCell="1" allowOverlap="1">
            <wp:simplePos x="0" y="0"/>
            <wp:positionH relativeFrom="column">
              <wp:posOffset>264160</wp:posOffset>
            </wp:positionH>
            <wp:positionV relativeFrom="paragraph">
              <wp:posOffset>494665</wp:posOffset>
            </wp:positionV>
            <wp:extent cx="4966335" cy="8353425"/>
            <wp:effectExtent l="0" t="0" r="5715" b="9525"/>
            <wp:wrapSquare wrapText="bothSides"/>
            <wp:docPr id="2" name="图片 2" descr="微信图片_2024110608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1106081013"/>
                    <pic:cNvPicPr>
                      <a:picLocks noChangeAspect="1"/>
                    </pic:cNvPicPr>
                  </pic:nvPicPr>
                  <pic:blipFill>
                    <a:blip r:embed="rId9"/>
                    <a:srcRect r="255" b="5625"/>
                    <a:stretch>
                      <a:fillRect/>
                    </a:stretch>
                  </pic:blipFill>
                  <pic:spPr>
                    <a:xfrm>
                      <a:off x="0" y="0"/>
                      <a:ext cx="4966335" cy="8353425"/>
                    </a:xfrm>
                    <a:prstGeom prst="rect">
                      <a:avLst/>
                    </a:prstGeom>
                  </pic:spPr>
                </pic:pic>
              </a:graphicData>
            </a:graphic>
          </wp:anchor>
        </w:drawing>
      </w:r>
      <w:r>
        <w:rPr>
          <w:rFonts w:hint="eastAsia" w:asciiTheme="minorEastAsia" w:hAnsiTheme="minorEastAsia" w:cstheme="minorEastAsia"/>
          <w:sz w:val="32"/>
          <w:szCs w:val="32"/>
          <w:lang w:val="en-US" w:eastAsia="zh-CN"/>
        </w:rPr>
        <w:t>应用证明（8份）</w:t>
      </w:r>
    </w:p>
    <w:p w14:paraId="506C130C">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32"/>
          <w:szCs w:val="32"/>
          <w:lang w:val="en-US" w:eastAsia="zh-CN"/>
        </w:rPr>
      </w:pPr>
      <w:r>
        <w:rPr>
          <w:rFonts w:hint="default" w:asciiTheme="minorEastAsia" w:hAnsiTheme="minorEastAsia" w:cstheme="minorEastAsia"/>
          <w:sz w:val="32"/>
          <w:szCs w:val="32"/>
          <w:lang w:val="en-US" w:eastAsia="zh-CN"/>
        </w:rPr>
        <w:drawing>
          <wp:inline distT="0" distB="0" distL="114300" distR="114300">
            <wp:extent cx="4973955" cy="8391525"/>
            <wp:effectExtent l="0" t="0" r="17145" b="9525"/>
            <wp:docPr id="5" name="图片 5" descr="微信图片_2024110608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1106081021"/>
                    <pic:cNvPicPr>
                      <a:picLocks noChangeAspect="1"/>
                    </pic:cNvPicPr>
                  </pic:nvPicPr>
                  <pic:blipFill>
                    <a:blip r:embed="rId10"/>
                    <a:srcRect t="4362" r="102" b="832"/>
                    <a:stretch>
                      <a:fillRect/>
                    </a:stretch>
                  </pic:blipFill>
                  <pic:spPr>
                    <a:xfrm>
                      <a:off x="0" y="0"/>
                      <a:ext cx="4973955" cy="8391525"/>
                    </a:xfrm>
                    <a:prstGeom prst="rect">
                      <a:avLst/>
                    </a:prstGeom>
                  </pic:spPr>
                </pic:pic>
              </a:graphicData>
            </a:graphic>
          </wp:inline>
        </w:drawing>
      </w:r>
    </w:p>
    <w:p w14:paraId="03DF602D">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32"/>
          <w:szCs w:val="32"/>
          <w:lang w:val="en-US" w:eastAsia="zh-CN"/>
        </w:rPr>
      </w:pPr>
    </w:p>
    <w:p w14:paraId="7575BDF3">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32"/>
          <w:szCs w:val="32"/>
          <w:lang w:val="en-US" w:eastAsia="zh-CN"/>
        </w:rPr>
      </w:pPr>
      <w:r>
        <w:rPr>
          <w:rFonts w:hint="default" w:asciiTheme="minorEastAsia" w:hAnsiTheme="minorEastAsia" w:cstheme="minorEastAsia"/>
          <w:sz w:val="32"/>
          <w:szCs w:val="32"/>
          <w:lang w:val="en-US" w:eastAsia="zh-CN"/>
        </w:rPr>
        <w:drawing>
          <wp:inline distT="0" distB="0" distL="114300" distR="114300">
            <wp:extent cx="4981575" cy="8587740"/>
            <wp:effectExtent l="0" t="0" r="9525" b="3810"/>
            <wp:docPr id="8" name="图片 8" descr="微信图片_2024110608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41106081036"/>
                    <pic:cNvPicPr>
                      <a:picLocks noChangeAspect="1"/>
                    </pic:cNvPicPr>
                  </pic:nvPicPr>
                  <pic:blipFill>
                    <a:blip r:embed="rId11"/>
                    <a:srcRect r="-51" b="2977"/>
                    <a:stretch>
                      <a:fillRect/>
                    </a:stretch>
                  </pic:blipFill>
                  <pic:spPr>
                    <a:xfrm>
                      <a:off x="0" y="0"/>
                      <a:ext cx="4981575" cy="8587740"/>
                    </a:xfrm>
                    <a:prstGeom prst="rect">
                      <a:avLst/>
                    </a:prstGeom>
                  </pic:spPr>
                </pic:pic>
              </a:graphicData>
            </a:graphic>
          </wp:inline>
        </w:drawing>
      </w:r>
    </w:p>
    <w:p w14:paraId="0D81ADCF">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32"/>
          <w:szCs w:val="32"/>
          <w:lang w:val="en-US" w:eastAsia="zh-CN"/>
        </w:rPr>
      </w:pPr>
      <w:r>
        <w:rPr>
          <w:rFonts w:hint="default" w:asciiTheme="minorEastAsia" w:hAnsiTheme="minorEastAsia" w:cstheme="minorEastAsia"/>
          <w:sz w:val="32"/>
          <w:szCs w:val="32"/>
          <w:lang w:val="en-US" w:eastAsia="zh-CN"/>
        </w:rPr>
        <w:drawing>
          <wp:inline distT="0" distB="0" distL="114300" distR="114300">
            <wp:extent cx="4981575" cy="8574405"/>
            <wp:effectExtent l="0" t="0" r="9525" b="17145"/>
            <wp:docPr id="9" name="图片 9" descr="微信图片_2024110608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41106081041"/>
                    <pic:cNvPicPr>
                      <a:picLocks noChangeAspect="1"/>
                    </pic:cNvPicPr>
                  </pic:nvPicPr>
                  <pic:blipFill>
                    <a:blip r:embed="rId12"/>
                    <a:srcRect r="-51" b="3128"/>
                    <a:stretch>
                      <a:fillRect/>
                    </a:stretch>
                  </pic:blipFill>
                  <pic:spPr>
                    <a:xfrm>
                      <a:off x="0" y="0"/>
                      <a:ext cx="4981575" cy="8574405"/>
                    </a:xfrm>
                    <a:prstGeom prst="rect">
                      <a:avLst/>
                    </a:prstGeom>
                  </pic:spPr>
                </pic:pic>
              </a:graphicData>
            </a:graphic>
          </wp:inline>
        </w:drawing>
      </w:r>
    </w:p>
    <w:p w14:paraId="221AF367">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32"/>
          <w:szCs w:val="32"/>
          <w:lang w:val="en-US" w:eastAsia="zh-CN"/>
        </w:rPr>
      </w:pPr>
      <w:r>
        <w:rPr>
          <w:rFonts w:hint="default" w:asciiTheme="minorEastAsia" w:hAnsiTheme="minorEastAsia" w:cstheme="minorEastAsia"/>
          <w:sz w:val="32"/>
          <w:szCs w:val="32"/>
          <w:lang w:val="en-US" w:eastAsia="zh-CN"/>
        </w:rPr>
        <w:drawing>
          <wp:inline distT="0" distB="0" distL="114300" distR="114300">
            <wp:extent cx="4981575" cy="8376285"/>
            <wp:effectExtent l="0" t="0" r="9525" b="5715"/>
            <wp:docPr id="10" name="图片 10" descr="微信图片_2024110608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41106081049"/>
                    <pic:cNvPicPr>
                      <a:picLocks noChangeAspect="1"/>
                    </pic:cNvPicPr>
                  </pic:nvPicPr>
                  <pic:blipFill>
                    <a:blip r:embed="rId13"/>
                    <a:srcRect r="-51" b="5366"/>
                    <a:stretch>
                      <a:fillRect/>
                    </a:stretch>
                  </pic:blipFill>
                  <pic:spPr>
                    <a:xfrm>
                      <a:off x="0" y="0"/>
                      <a:ext cx="4981575" cy="8376285"/>
                    </a:xfrm>
                    <a:prstGeom prst="rect">
                      <a:avLst/>
                    </a:prstGeom>
                  </pic:spPr>
                </pic:pic>
              </a:graphicData>
            </a:graphic>
          </wp:inline>
        </w:drawing>
      </w:r>
    </w:p>
    <w:p w14:paraId="7190492C">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32"/>
          <w:szCs w:val="32"/>
          <w:lang w:val="en-US" w:eastAsia="zh-CN"/>
        </w:rPr>
      </w:pPr>
    </w:p>
    <w:p w14:paraId="546B1F77">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32"/>
          <w:szCs w:val="32"/>
          <w:lang w:val="en-US" w:eastAsia="zh-CN"/>
        </w:rPr>
      </w:pPr>
      <w:r>
        <w:rPr>
          <w:rFonts w:hint="default" w:asciiTheme="minorEastAsia" w:hAnsiTheme="minorEastAsia" w:cstheme="minorEastAsia"/>
          <w:sz w:val="32"/>
          <w:szCs w:val="32"/>
          <w:lang w:val="en-US" w:eastAsia="zh-CN"/>
        </w:rPr>
        <w:drawing>
          <wp:inline distT="0" distB="0" distL="114300" distR="114300">
            <wp:extent cx="4979035" cy="8851265"/>
            <wp:effectExtent l="0" t="0" r="12065" b="6985"/>
            <wp:docPr id="14" name="图片 14" descr="微信图片_2024110608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41106081055"/>
                    <pic:cNvPicPr>
                      <a:picLocks noChangeAspect="1"/>
                    </pic:cNvPicPr>
                  </pic:nvPicPr>
                  <pic:blipFill>
                    <a:blip r:embed="rId14"/>
                    <a:stretch>
                      <a:fillRect/>
                    </a:stretch>
                  </pic:blipFill>
                  <pic:spPr>
                    <a:xfrm>
                      <a:off x="0" y="0"/>
                      <a:ext cx="4979035" cy="8851265"/>
                    </a:xfrm>
                    <a:prstGeom prst="rect">
                      <a:avLst/>
                    </a:prstGeom>
                  </pic:spPr>
                </pic:pic>
              </a:graphicData>
            </a:graphic>
          </wp:inline>
        </w:drawing>
      </w:r>
    </w:p>
    <w:p w14:paraId="7C273C52">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Theme="minorEastAsia" w:hAnsiTheme="minorEastAsia" w:cstheme="minorEastAsia"/>
          <w:sz w:val="32"/>
          <w:szCs w:val="32"/>
          <w:lang w:val="en-US" w:eastAsia="zh-CN"/>
        </w:rPr>
      </w:pPr>
      <w:r>
        <w:rPr>
          <w:rFonts w:hint="default" w:asciiTheme="minorEastAsia" w:hAnsiTheme="minorEastAsia" w:cstheme="minorEastAsia"/>
          <w:sz w:val="32"/>
          <w:szCs w:val="32"/>
          <w:lang w:val="en-US" w:eastAsia="zh-CN"/>
        </w:rPr>
        <w:drawing>
          <wp:inline distT="0" distB="0" distL="114300" distR="114300">
            <wp:extent cx="4973955" cy="8580120"/>
            <wp:effectExtent l="0" t="0" r="17145" b="11430"/>
            <wp:docPr id="15" name="图片 15" descr="微信图片_2024110608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41106081100"/>
                    <pic:cNvPicPr>
                      <a:picLocks noChangeAspect="1"/>
                    </pic:cNvPicPr>
                  </pic:nvPicPr>
                  <pic:blipFill>
                    <a:blip r:embed="rId15"/>
                    <a:srcRect r="102" b="3063"/>
                    <a:stretch>
                      <a:fillRect/>
                    </a:stretch>
                  </pic:blipFill>
                  <pic:spPr>
                    <a:xfrm>
                      <a:off x="0" y="0"/>
                      <a:ext cx="4973955" cy="8580120"/>
                    </a:xfrm>
                    <a:prstGeom prst="rect">
                      <a:avLst/>
                    </a:prstGeom>
                  </pic:spPr>
                </pic:pic>
              </a:graphicData>
            </a:graphic>
          </wp:inline>
        </w:drawing>
      </w:r>
    </w:p>
    <w:p w14:paraId="269393FD">
      <w:pPr>
        <w:keepNext w:val="0"/>
        <w:keepLines w:val="0"/>
        <w:pageBreakBefore w:val="0"/>
        <w:widowControl w:val="0"/>
        <w:numPr>
          <w:ilvl w:val="0"/>
          <w:numId w:val="0"/>
        </w:numPr>
        <w:kinsoku/>
        <w:wordWrap/>
        <w:overflowPunct/>
        <w:topLinePunct w:val="0"/>
        <w:autoSpaceDE/>
        <w:autoSpaceDN/>
        <w:bidi w:val="0"/>
        <w:adjustRightInd/>
        <w:snapToGrid/>
        <w:jc w:val="left"/>
        <w:textAlignment w:val="auto"/>
      </w:pPr>
      <w:r>
        <w:rPr>
          <w:rFonts w:hint="default" w:asciiTheme="minorEastAsia" w:hAnsiTheme="minorEastAsia" w:cstheme="minorEastAsia"/>
          <w:sz w:val="32"/>
          <w:szCs w:val="32"/>
          <w:lang w:val="en-US" w:eastAsia="zh-CN"/>
        </w:rPr>
        <w:drawing>
          <wp:inline distT="0" distB="0" distL="114300" distR="114300">
            <wp:extent cx="4979035" cy="8851265"/>
            <wp:effectExtent l="0" t="0" r="12065" b="6985"/>
            <wp:docPr id="16" name="图片 16" descr="微信图片_2024110608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41106081118"/>
                    <pic:cNvPicPr>
                      <a:picLocks noChangeAspect="1"/>
                    </pic:cNvPicPr>
                  </pic:nvPicPr>
                  <pic:blipFill>
                    <a:blip r:embed="rId16"/>
                    <a:stretch>
                      <a:fillRect/>
                    </a:stretch>
                  </pic:blipFill>
                  <pic:spPr>
                    <a:xfrm>
                      <a:off x="0" y="0"/>
                      <a:ext cx="4979035" cy="885126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B0032A"/>
    <w:multiLevelType w:val="singleLevel"/>
    <w:tmpl w:val="84B0032A"/>
    <w:lvl w:ilvl="0" w:tentative="0">
      <w:start w:val="1"/>
      <w:numFmt w:val="chineseCounting"/>
      <w:suff w:val="nothing"/>
      <w:lvlText w:val="（%1）"/>
      <w:lvlJc w:val="left"/>
      <w:rPr>
        <w:rFonts w:hint="eastAsia"/>
      </w:rPr>
    </w:lvl>
  </w:abstractNum>
  <w:abstractNum w:abstractNumId="1">
    <w:nsid w:val="B040F63A"/>
    <w:multiLevelType w:val="singleLevel"/>
    <w:tmpl w:val="B040F63A"/>
    <w:lvl w:ilvl="0" w:tentative="0">
      <w:start w:val="4"/>
      <w:numFmt w:val="chineseCounting"/>
      <w:suff w:val="nothing"/>
      <w:lvlText w:val="（%1）"/>
      <w:lvlJc w:val="left"/>
      <w:rPr>
        <w:rFonts w:hint="eastAsia"/>
      </w:rPr>
    </w:lvl>
  </w:abstractNum>
  <w:abstractNum w:abstractNumId="2">
    <w:nsid w:val="B5C18860"/>
    <w:multiLevelType w:val="singleLevel"/>
    <w:tmpl w:val="B5C18860"/>
    <w:lvl w:ilvl="0" w:tentative="0">
      <w:start w:val="1"/>
      <w:numFmt w:val="decimal"/>
      <w:suff w:val="nothing"/>
      <w:lvlText w:val="%1、"/>
      <w:lvlJc w:val="left"/>
    </w:lvl>
  </w:abstractNum>
  <w:abstractNum w:abstractNumId="3">
    <w:nsid w:val="B6FF552E"/>
    <w:multiLevelType w:val="singleLevel"/>
    <w:tmpl w:val="B6FF552E"/>
    <w:lvl w:ilvl="0" w:tentative="0">
      <w:start w:val="2"/>
      <w:numFmt w:val="chineseCounting"/>
      <w:suff w:val="nothing"/>
      <w:lvlText w:val="（%1）"/>
      <w:lvlJc w:val="left"/>
      <w:rPr>
        <w:rFonts w:hint="eastAsia"/>
      </w:rPr>
    </w:lvl>
  </w:abstractNum>
  <w:abstractNum w:abstractNumId="4">
    <w:nsid w:val="E780A77F"/>
    <w:multiLevelType w:val="singleLevel"/>
    <w:tmpl w:val="E780A77F"/>
    <w:lvl w:ilvl="0" w:tentative="0">
      <w:start w:val="1"/>
      <w:numFmt w:val="decimal"/>
      <w:suff w:val="nothing"/>
      <w:lvlText w:val="%1、"/>
      <w:lvlJc w:val="left"/>
    </w:lvl>
  </w:abstractNum>
  <w:abstractNum w:abstractNumId="5">
    <w:nsid w:val="FC2603A8"/>
    <w:multiLevelType w:val="singleLevel"/>
    <w:tmpl w:val="FC2603A8"/>
    <w:lvl w:ilvl="0" w:tentative="0">
      <w:start w:val="2"/>
      <w:numFmt w:val="decimal"/>
      <w:suff w:val="nothing"/>
      <w:lvlText w:val="%1、"/>
      <w:lvlJc w:val="left"/>
    </w:lvl>
  </w:abstractNum>
  <w:abstractNum w:abstractNumId="6">
    <w:nsid w:val="442A8C45"/>
    <w:multiLevelType w:val="singleLevel"/>
    <w:tmpl w:val="442A8C45"/>
    <w:lvl w:ilvl="0" w:tentative="0">
      <w:start w:val="6"/>
      <w:numFmt w:val="chineseCounting"/>
      <w:suff w:val="nothing"/>
      <w:lvlText w:val="%1、"/>
      <w:lvlJc w:val="left"/>
      <w:rPr>
        <w:rFonts w:hint="eastAsia"/>
      </w:rPr>
    </w:lvl>
  </w:abstractNum>
  <w:abstractNum w:abstractNumId="7">
    <w:nsid w:val="662C4F75"/>
    <w:multiLevelType w:val="singleLevel"/>
    <w:tmpl w:val="662C4F75"/>
    <w:lvl w:ilvl="0" w:tentative="0">
      <w:start w:val="1"/>
      <w:numFmt w:val="decimal"/>
      <w:suff w:val="nothing"/>
      <w:lvlText w:val="%1、"/>
      <w:lvlJc w:val="left"/>
    </w:lvl>
  </w:abstractNum>
  <w:num w:numId="1">
    <w:abstractNumId w:val="5"/>
  </w:num>
  <w:num w:numId="2">
    <w:abstractNumId w:val="3"/>
  </w:num>
  <w:num w:numId="3">
    <w:abstractNumId w:val="1"/>
  </w:num>
  <w:num w:numId="4">
    <w:abstractNumId w:val="0"/>
  </w:num>
  <w:num w:numId="5">
    <w:abstractNumId w:val="7"/>
  </w:num>
  <w:num w:numId="6">
    <w:abstractNumId w:val="4"/>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hhM2I5YmFhODc4YmY2NWExMDdmZDg1NDgwYzQxNDIifQ=="/>
  </w:docVars>
  <w:rsids>
    <w:rsidRoot w:val="61DE201F"/>
    <w:rsid w:val="058E35AC"/>
    <w:rsid w:val="31013C75"/>
    <w:rsid w:val="36170A15"/>
    <w:rsid w:val="61DE20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Hyperlink"/>
    <w:basedOn w:val="4"/>
    <w:qFormat/>
    <w:uiPriority w:val="0"/>
    <w:rPr>
      <w:color w:val="0000FF"/>
      <w:u w:val="single"/>
    </w:rPr>
  </w:style>
  <w:style w:type="paragraph" w:customStyle="1" w:styleId="6">
    <w:name w:val="Table Text"/>
    <w:basedOn w:val="1"/>
    <w:semiHidden/>
    <w:qFormat/>
    <w:uiPriority w:val="0"/>
    <w:rPr>
      <w:rFonts w:ascii="仿宋" w:hAnsi="仿宋" w:eastAsia="仿宋" w:cs="仿宋"/>
      <w:sz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2880</Words>
  <Characters>3009</Characters>
  <Lines>0</Lines>
  <Paragraphs>0</Paragraphs>
  <TotalTime>3</TotalTime>
  <ScaleCrop>false</ScaleCrop>
  <LinksUpToDate>false</LinksUpToDate>
  <CharactersWithSpaces>3027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2024-11-08T07:10:00Z</dcterms:created>
  <dc:creator>红花草</dc:creator>
  <cp:lastModifiedBy>忙里偷闲</cp:lastModifiedBy>
  <dcterms:modified xsi:type="dcterms:W3CDTF">2025-01-02T03:20:15Z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0A6D6C3853564A9EAE3C8901261425E2_13</vt:lpwstr>
  </property>
</Properties>
</file>