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18EBB">
      <w:pPr>
        <w:spacing w:before="156" w:beforeLines="50" w:after="156" w:afterLines="50" w:line="600" w:lineRule="exact"/>
        <w:jc w:val="center"/>
        <w:rPr>
          <w:rFonts w:hint="eastAsia" w:ascii="方正小标宋简体" w:hAnsi="方正小标宋简体" w:eastAsia="方正小标宋简体" w:cs="方正小标宋简体"/>
          <w:bCs/>
          <w:sz w:val="44"/>
          <w:szCs w:val="44"/>
          <w:lang w:val="en-US" w:eastAsia="zh-CN"/>
        </w:rPr>
      </w:pPr>
    </w:p>
    <w:p w14:paraId="4C039311">
      <w:pPr>
        <w:numPr>
          <w:ilvl w:val="0"/>
          <w:numId w:val="1"/>
        </w:numPr>
        <w:spacing w:before="156" w:beforeLines="50" w:after="156" w:afterLines="50" w:line="6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夏大豆扩行缩株机械化生产技术</w:t>
      </w:r>
    </w:p>
    <w:p w14:paraId="79736A17">
      <w:pPr>
        <w:numPr>
          <w:numId w:val="0"/>
        </w:numPr>
        <w:spacing w:before="156" w:beforeLines="50" w:after="156" w:afterLines="50" w:line="600" w:lineRule="exact"/>
        <w:jc w:val="both"/>
        <w:rPr>
          <w:rFonts w:hint="eastAsia" w:ascii="方正小标宋简体" w:hAnsi="方正小标宋简体" w:eastAsia="方正小标宋简体" w:cs="方正小标宋简体"/>
          <w:bCs/>
          <w:sz w:val="44"/>
          <w:szCs w:val="44"/>
        </w:rPr>
      </w:pPr>
      <w:bookmarkStart w:id="0" w:name="_GoBack"/>
      <w:bookmarkEnd w:id="0"/>
    </w:p>
    <w:p w14:paraId="3DA2A17F">
      <w:pPr>
        <w:spacing w:line="600" w:lineRule="exact"/>
        <w:ind w:firstLine="562"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b/>
          <w:bCs/>
          <w:sz w:val="28"/>
          <w:szCs w:val="28"/>
        </w:rPr>
        <w:t>摘要：</w:t>
      </w:r>
      <w:r>
        <w:rPr>
          <w:rFonts w:hint="eastAsia" w:ascii="仿宋" w:hAnsi="仿宋" w:eastAsia="仿宋" w:cs="楷体_GB2312"/>
          <w:bCs/>
          <w:sz w:val="28"/>
          <w:szCs w:val="28"/>
        </w:rPr>
        <w:t>大豆是</w:t>
      </w:r>
      <w:r>
        <w:rPr>
          <w:rFonts w:hint="eastAsia" w:ascii="仿宋" w:hAnsi="仿宋" w:eastAsia="仿宋" w:cs="楷体_GB2312"/>
          <w:color w:val="000000" w:themeColor="text1"/>
          <w:sz w:val="28"/>
          <w:szCs w:val="28"/>
          <w14:textFill>
            <w14:solidFill>
              <w14:schemeClr w14:val="tx1"/>
            </w14:solidFill>
          </w14:textFill>
        </w:rPr>
        <w:t>陕西省重要的作物之一，常年种植面积260</w:t>
      </w:r>
      <w:r>
        <w:rPr>
          <w:rFonts w:ascii="仿宋" w:hAnsi="仿宋" w:eastAsia="仿宋" w:cs="楷体_GB2312"/>
          <w:color w:val="000000" w:themeColor="text1"/>
          <w:sz w:val="28"/>
          <w:szCs w:val="28"/>
          <w14:textFill>
            <w14:solidFill>
              <w14:schemeClr w14:val="tx1"/>
            </w14:solidFill>
          </w14:textFill>
        </w:rPr>
        <w:t>万亩</w:t>
      </w:r>
      <w:r>
        <w:rPr>
          <w:rFonts w:hint="eastAsia" w:ascii="仿宋" w:hAnsi="仿宋" w:eastAsia="仿宋" w:cs="楷体_GB2312"/>
          <w:color w:val="000000" w:themeColor="text1"/>
          <w:sz w:val="28"/>
          <w:szCs w:val="28"/>
          <w14:textFill>
            <w14:solidFill>
              <w14:schemeClr w14:val="tx1"/>
            </w14:solidFill>
          </w14:textFill>
        </w:rPr>
        <w:t>左右</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其中夏大豆大约</w:t>
      </w:r>
      <w:r>
        <w:rPr>
          <w:rFonts w:ascii="仿宋" w:hAnsi="仿宋" w:eastAsia="仿宋" w:cs="楷体_GB2312"/>
          <w:color w:val="000000" w:themeColor="text1"/>
          <w:sz w:val="28"/>
          <w:szCs w:val="28"/>
          <w14:textFill>
            <w14:solidFill>
              <w14:schemeClr w14:val="tx1"/>
            </w14:solidFill>
          </w14:textFill>
        </w:rPr>
        <w:t>占种植面积的</w:t>
      </w:r>
      <w:r>
        <w:rPr>
          <w:rFonts w:hint="eastAsia" w:ascii="仿宋" w:hAnsi="仿宋" w:eastAsia="仿宋" w:cs="楷体_GB2312"/>
          <w:color w:val="000000" w:themeColor="text1"/>
          <w:sz w:val="28"/>
          <w:szCs w:val="28"/>
          <w14:textFill>
            <w14:solidFill>
              <w14:schemeClr w14:val="tx1"/>
            </w14:solidFill>
          </w14:textFill>
        </w:rPr>
        <w:t>60</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目前，我省夏大豆生产的突出问题是种、管、收配套机械与农艺结合，夏大豆田间郁闭、透风透光差，以及部分品种贪青晚熟导致下茬作物不能及时播种。因此，利用增加行距、缩小株距保证种植密度的前提下利用玉米播种机械种植大豆，使夏大豆田通风透光、提高大豆个体的抗逆性；利用植保无人机进行化学除草、一喷多防和化学催熟，提高大豆群体的田间管理效率；利用专用大豆收割机械或经过改装的小麦收割机械进行大豆收获，降低机收损失率，提高单产。近年来，该技术通过良种良机良法配套，夏大豆单产不断提高，2024年百亩实收亩产达到294.2公斤，实现亩节本增效760元左右。目前，该技术在陇县、陈仓、岐山、扶风、金台、凤翔、麟游、渭南、商洛、安康、汉中等市县区逐步推广示范，应用前景广阔。</w:t>
      </w:r>
    </w:p>
    <w:p w14:paraId="4B7BDAA3">
      <w:pPr>
        <w:spacing w:line="600" w:lineRule="exact"/>
        <w:ind w:firstLine="640" w:firstLineChars="200"/>
        <w:jc w:val="left"/>
        <w:rPr>
          <w:rFonts w:ascii="黑体" w:hAnsi="黑体" w:eastAsia="黑体"/>
          <w:bCs/>
          <w:color w:val="000000" w:themeColor="text1"/>
          <w:sz w:val="32"/>
          <w:szCs w:val="32"/>
          <w14:textFill>
            <w14:solidFill>
              <w14:schemeClr w14:val="tx1"/>
            </w14:solidFill>
          </w14:textFill>
        </w:rPr>
      </w:pPr>
      <w:r>
        <w:rPr>
          <w:rFonts w:ascii="黑体" w:hAnsi="黑体" w:eastAsia="黑体"/>
          <w:bCs/>
          <w:color w:val="000000" w:themeColor="text1"/>
          <w:sz w:val="32"/>
          <w:szCs w:val="32"/>
          <w14:textFill>
            <w14:solidFill>
              <w14:schemeClr w14:val="tx1"/>
            </w14:solidFill>
          </w14:textFill>
        </w:rPr>
        <w:t>一、技术概述</w:t>
      </w:r>
    </w:p>
    <w:p w14:paraId="161AF87C">
      <w:pPr>
        <w:snapToGrid w:val="0"/>
        <w:spacing w:line="600" w:lineRule="exact"/>
        <w:ind w:firstLine="562" w:firstLineChars="200"/>
        <w:rPr>
          <w:rFonts w:ascii="楷体" w:hAnsi="楷体" w:eastAsia="楷体" w:cs="楷体_GB2312"/>
          <w:b/>
          <w:color w:val="000000" w:themeColor="text1"/>
          <w:sz w:val="28"/>
          <w:szCs w:val="28"/>
          <w14:textFill>
            <w14:solidFill>
              <w14:schemeClr w14:val="tx1"/>
            </w14:solidFill>
          </w14:textFill>
        </w:rPr>
      </w:pPr>
      <w:r>
        <w:rPr>
          <w:rFonts w:hint="eastAsia" w:ascii="楷体" w:hAnsi="楷体" w:eastAsia="楷体" w:cs="楷体_GB2312"/>
          <w:b/>
          <w:color w:val="000000" w:themeColor="text1"/>
          <w:sz w:val="28"/>
          <w:szCs w:val="28"/>
          <w14:textFill>
            <w14:solidFill>
              <w14:schemeClr w14:val="tx1"/>
            </w14:solidFill>
          </w14:textFill>
        </w:rPr>
        <w:t>（一）背景情况</w:t>
      </w:r>
    </w:p>
    <w:p w14:paraId="145CB6E4">
      <w:pPr>
        <w:snapToGrid w:val="0"/>
        <w:spacing w:line="600" w:lineRule="exact"/>
        <w:ind w:firstLine="560"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大豆是陕西省重要的作物之一，常年种植面积260</w:t>
      </w:r>
      <w:r>
        <w:rPr>
          <w:rFonts w:ascii="仿宋" w:hAnsi="仿宋" w:eastAsia="仿宋" w:cs="楷体_GB2312"/>
          <w:color w:val="000000" w:themeColor="text1"/>
          <w:sz w:val="28"/>
          <w:szCs w:val="28"/>
          <w14:textFill>
            <w14:solidFill>
              <w14:schemeClr w14:val="tx1"/>
            </w14:solidFill>
          </w14:textFill>
        </w:rPr>
        <w:t>万亩</w:t>
      </w:r>
      <w:r>
        <w:rPr>
          <w:rFonts w:hint="eastAsia" w:ascii="仿宋" w:hAnsi="仿宋" w:eastAsia="仿宋" w:cs="楷体_GB2312"/>
          <w:color w:val="000000" w:themeColor="text1"/>
          <w:sz w:val="28"/>
          <w:szCs w:val="28"/>
          <w14:textFill>
            <w14:solidFill>
              <w14:schemeClr w14:val="tx1"/>
            </w14:solidFill>
          </w14:textFill>
        </w:rPr>
        <w:t>左右</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其中夏大豆大约</w:t>
      </w:r>
      <w:r>
        <w:rPr>
          <w:rFonts w:ascii="仿宋" w:hAnsi="仿宋" w:eastAsia="仿宋" w:cs="楷体_GB2312"/>
          <w:color w:val="000000" w:themeColor="text1"/>
          <w:sz w:val="28"/>
          <w:szCs w:val="28"/>
          <w14:textFill>
            <w14:solidFill>
              <w14:schemeClr w14:val="tx1"/>
            </w14:solidFill>
          </w14:textFill>
        </w:rPr>
        <w:t>占全省</w:t>
      </w:r>
      <w:r>
        <w:rPr>
          <w:rFonts w:hint="eastAsia" w:ascii="仿宋" w:hAnsi="仿宋" w:eastAsia="仿宋" w:cs="楷体_GB2312"/>
          <w:color w:val="000000" w:themeColor="text1"/>
          <w:sz w:val="28"/>
          <w:szCs w:val="28"/>
          <w14:textFill>
            <w14:solidFill>
              <w14:schemeClr w14:val="tx1"/>
            </w14:solidFill>
          </w14:textFill>
        </w:rPr>
        <w:t>大豆</w:t>
      </w:r>
      <w:r>
        <w:rPr>
          <w:rFonts w:ascii="仿宋" w:hAnsi="仿宋" w:eastAsia="仿宋" w:cs="楷体_GB2312"/>
          <w:color w:val="000000" w:themeColor="text1"/>
          <w:sz w:val="28"/>
          <w:szCs w:val="28"/>
          <w14:textFill>
            <w14:solidFill>
              <w14:schemeClr w14:val="tx1"/>
            </w14:solidFill>
          </w14:textFill>
        </w:rPr>
        <w:t>种植面积的</w:t>
      </w:r>
      <w:r>
        <w:rPr>
          <w:rFonts w:hint="eastAsia" w:ascii="仿宋" w:hAnsi="仿宋" w:eastAsia="仿宋" w:cs="楷体_GB2312"/>
          <w:color w:val="000000" w:themeColor="text1"/>
          <w:sz w:val="28"/>
          <w:szCs w:val="28"/>
          <w14:textFill>
            <w14:solidFill>
              <w14:schemeClr w14:val="tx1"/>
            </w14:solidFill>
          </w14:textFill>
        </w:rPr>
        <w:t>60</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近年来，随着国家大豆振兴计划的实施，大豆生产及大豆产业链发展已连续5年写入中央一号文件，说明国家对大豆生产及大豆产业发展的高度重视。</w:t>
      </w:r>
    </w:p>
    <w:p w14:paraId="09906417">
      <w:pPr>
        <w:snapToGrid w:val="0"/>
        <w:spacing w:line="600" w:lineRule="exact"/>
        <w:ind w:firstLine="560"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当前，陕西省夏大豆生产最突出的问题是播种机械、田间管理和收获机械的不配套，导致夏大豆生产效率低下，种植成本高，种植户生产积极性不高。为进一步加强我省夏大豆生产能力，降低夏大豆生产成本，科技人员通过试验研究、田间验证、示范推广、种植户反馈，集成机械化播种、无人机管理、机械化收获、后期催熟为核心的夏大豆扩行缩株机械化生产技术。</w:t>
      </w:r>
    </w:p>
    <w:p w14:paraId="041EC7FA">
      <w:pPr>
        <w:snapToGrid w:val="0"/>
        <w:spacing w:line="600" w:lineRule="exact"/>
        <w:ind w:firstLine="560"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该技术综合考虑大豆专用播种机械和收获机械匮乏的问题，通过利用现有玉米播种机械实现大豆播种，利用现有的小麦收获机械实现大豆收获。同时，利用植保无人飞机完成生育期杂草、病虫害防治和后期催熟的机械化作业。该技术通过利用现有的其它作物的种、收机械，实现大豆生产和节本增效，实现农业机械资源的充分利用；利用扩行缩株保障大豆田间种植密度并促进大豆行间通风透光，提高大豆个体和群体之间的高效协同，提升大豆单产，对种植户种植积极性和农机社会服务机构的农机使用率的提高具有重要作用。</w:t>
      </w:r>
    </w:p>
    <w:p w14:paraId="6FC15F9B">
      <w:pPr>
        <w:snapToGrid w:val="0"/>
        <w:spacing w:line="600" w:lineRule="exact"/>
        <w:ind w:firstLine="640"/>
        <w:rPr>
          <w:rFonts w:ascii="楷体" w:hAnsi="楷体" w:eastAsia="楷体" w:cs="楷体_GB2312"/>
          <w:b/>
          <w:color w:val="000000" w:themeColor="text1"/>
          <w:sz w:val="32"/>
          <w:szCs w:val="32"/>
          <w14:textFill>
            <w14:solidFill>
              <w14:schemeClr w14:val="tx1"/>
            </w14:solidFill>
          </w14:textFill>
        </w:rPr>
      </w:pPr>
      <w:r>
        <w:rPr>
          <w:rFonts w:hint="eastAsia" w:ascii="楷体" w:hAnsi="楷体" w:eastAsia="楷体" w:cs="楷体_GB2312"/>
          <w:b/>
          <w:color w:val="000000" w:themeColor="text1"/>
          <w:sz w:val="32"/>
          <w:szCs w:val="32"/>
          <w14:textFill>
            <w14:solidFill>
              <w14:schemeClr w14:val="tx1"/>
            </w14:solidFill>
          </w14:textFill>
        </w:rPr>
        <w:t>（二）推广应用情况</w:t>
      </w:r>
    </w:p>
    <w:p w14:paraId="4AD669A5">
      <w:pPr>
        <w:snapToGrid w:val="0"/>
        <w:spacing w:line="600" w:lineRule="exact"/>
        <w:ind w:firstLine="64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自2021年开始，该技术在宝鸡地区示范推广，并逐步在咸阳、渭南、汉中以及大豆春播区示范应用，获得良好的示范效果。2022年，该技术在岐山县刘家塬村通过良种良法配套实现大豆亩产284.86kg，实现当年陕西省夏播大豆高产记录。2023年，该技术在岐山县刘家塬村通过良种良法配套实现大豆亩产301.8kg。2024年，该技术在岐山县凤鸣镇孝陵村实现大豆百亩实收亩产294.2kg。2025年，该技术继续扩大推广应用规模，建设示范基地20余个，辐射带动甘肃南部、山西南部进行推广应用。近三年，该技术在陇县、陈仓、岐山、扶风、金台、凤翔、渭南、商洛、安康、汉中等市县区逐步推广示范并从关中西部地区向关中东部、陕南和部分陕北地区发展</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应用前景广阔</w:t>
      </w:r>
      <w:r>
        <w:rPr>
          <w:rFonts w:ascii="仿宋" w:hAnsi="仿宋" w:eastAsia="仿宋" w:cs="楷体_GB2312"/>
          <w:color w:val="000000" w:themeColor="text1"/>
          <w:sz w:val="28"/>
          <w:szCs w:val="28"/>
          <w14:textFill>
            <w14:solidFill>
              <w14:schemeClr w14:val="tx1"/>
            </w14:solidFill>
          </w14:textFill>
        </w:rPr>
        <w:t>。</w:t>
      </w:r>
    </w:p>
    <w:p w14:paraId="77A736B1">
      <w:pPr>
        <w:snapToGrid w:val="0"/>
        <w:spacing w:line="600" w:lineRule="exact"/>
        <w:ind w:firstLine="640"/>
        <w:rPr>
          <w:rFonts w:ascii="楷体" w:hAnsi="楷体" w:eastAsia="楷体" w:cs="楷体_GB2312"/>
          <w:b/>
          <w:color w:val="000000" w:themeColor="text1"/>
          <w:sz w:val="32"/>
          <w:szCs w:val="32"/>
          <w14:textFill>
            <w14:solidFill>
              <w14:schemeClr w14:val="tx1"/>
            </w14:solidFill>
          </w14:textFill>
        </w:rPr>
      </w:pPr>
      <w:r>
        <w:rPr>
          <w:rFonts w:hint="eastAsia" w:ascii="楷体" w:hAnsi="楷体" w:eastAsia="楷体" w:cs="楷体_GB2312"/>
          <w:b/>
          <w:color w:val="000000" w:themeColor="text1"/>
          <w:sz w:val="32"/>
          <w:szCs w:val="32"/>
          <w14:textFill>
            <w14:solidFill>
              <w14:schemeClr w14:val="tx1"/>
            </w14:solidFill>
          </w14:textFill>
        </w:rPr>
        <w:t>（三）技术效果</w:t>
      </w:r>
    </w:p>
    <w:p w14:paraId="3CE18596">
      <w:pPr>
        <w:snapToGrid w:val="0"/>
        <w:spacing w:line="600" w:lineRule="exact"/>
        <w:ind w:firstLine="64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和传统夏大豆种植技术相比（行距30</w:t>
      </w:r>
      <w:r>
        <w:rPr>
          <w:rFonts w:ascii="仿宋" w:hAnsi="仿宋" w:eastAsia="仿宋" w:cs="楷体_GB2312"/>
          <w:color w:val="000000" w:themeColor="text1"/>
          <w:sz w:val="28"/>
          <w:szCs w:val="28"/>
          <w14:textFill>
            <w14:solidFill>
              <w14:schemeClr w14:val="tx1"/>
            </w14:solidFill>
          </w14:textFill>
        </w:rPr>
        <w:t xml:space="preserve"> </w:t>
      </w:r>
      <w:r>
        <w:rPr>
          <w:rFonts w:hint="eastAsia" w:ascii="仿宋" w:hAnsi="仿宋" w:eastAsia="仿宋" w:cs="楷体_GB2312"/>
          <w:color w:val="000000" w:themeColor="text1"/>
          <w:sz w:val="28"/>
          <w:szCs w:val="28"/>
          <w14:textFill>
            <w14:solidFill>
              <w14:schemeClr w14:val="tx1"/>
            </w14:solidFill>
          </w14:textFill>
        </w:rPr>
        <w:t>cm</w:t>
      </w:r>
      <w:r>
        <w:rPr>
          <w:rFonts w:ascii="仿宋" w:hAnsi="仿宋" w:eastAsia="仿宋" w:cs="楷体_GB2312"/>
          <w:bCs/>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40</w:t>
      </w:r>
      <w:r>
        <w:rPr>
          <w:rFonts w:ascii="仿宋" w:hAnsi="仿宋" w:eastAsia="仿宋" w:cs="楷体_GB2312"/>
          <w:color w:val="000000" w:themeColor="text1"/>
          <w:sz w:val="28"/>
          <w:szCs w:val="28"/>
          <w14:textFill>
            <w14:solidFill>
              <w14:schemeClr w14:val="tx1"/>
            </w14:solidFill>
          </w14:textFill>
        </w:rPr>
        <w:t xml:space="preserve"> </w:t>
      </w:r>
      <w:r>
        <w:rPr>
          <w:rFonts w:hint="eastAsia" w:ascii="仿宋" w:hAnsi="仿宋" w:eastAsia="仿宋" w:cs="楷体_GB2312"/>
          <w:color w:val="000000" w:themeColor="text1"/>
          <w:sz w:val="28"/>
          <w:szCs w:val="28"/>
          <w14:textFill>
            <w14:solidFill>
              <w14:schemeClr w14:val="tx1"/>
            </w14:solidFill>
          </w14:textFill>
        </w:rPr>
        <w:t>cm，密度1万株/亩左右），夏大豆单产可提高4</w:t>
      </w:r>
      <w:r>
        <w:rPr>
          <w:rFonts w:ascii="仿宋" w:hAnsi="仿宋" w:eastAsia="仿宋" w:cs="楷体_GB2312"/>
          <w:color w:val="000000" w:themeColor="text1"/>
          <w:sz w:val="28"/>
          <w:szCs w:val="28"/>
          <w14:textFill>
            <w14:solidFill>
              <w14:schemeClr w14:val="tx1"/>
            </w14:solidFill>
          </w14:textFill>
        </w:rPr>
        <w:t>0 kg以上，亩减少劳动力投入</w:t>
      </w:r>
      <w:r>
        <w:rPr>
          <w:rFonts w:hint="eastAsia" w:ascii="仿宋" w:hAnsi="仿宋" w:eastAsia="仿宋" w:cs="楷体_GB2312"/>
          <w:color w:val="000000" w:themeColor="text1"/>
          <w:sz w:val="28"/>
          <w:szCs w:val="28"/>
          <w14:textFill>
            <w14:solidFill>
              <w14:schemeClr w14:val="tx1"/>
            </w14:solidFill>
          </w14:textFill>
        </w:rPr>
        <w:t>10</w:t>
      </w:r>
      <w:r>
        <w:rPr>
          <w:rFonts w:ascii="仿宋" w:hAnsi="仿宋" w:eastAsia="仿宋" w:cs="楷体_GB2312"/>
          <w:color w:val="000000" w:themeColor="text1"/>
          <w:sz w:val="28"/>
          <w:szCs w:val="28"/>
          <w14:textFill>
            <w14:solidFill>
              <w14:schemeClr w14:val="tx1"/>
            </w14:solidFill>
          </w14:textFill>
        </w:rPr>
        <w:t>个</w:t>
      </w:r>
      <w:r>
        <w:rPr>
          <w:rFonts w:hint="eastAsia" w:ascii="仿宋" w:hAnsi="仿宋" w:eastAsia="仿宋" w:cs="楷体_GB2312"/>
          <w:color w:val="000000" w:themeColor="text1"/>
          <w:sz w:val="28"/>
          <w:szCs w:val="28"/>
          <w14:textFill>
            <w14:solidFill>
              <w14:schemeClr w14:val="tx1"/>
            </w14:solidFill>
          </w14:textFill>
        </w:rPr>
        <w:t>左右</w:t>
      </w:r>
      <w:r>
        <w:rPr>
          <w:rFonts w:ascii="仿宋" w:hAnsi="仿宋" w:eastAsia="仿宋" w:cs="楷体_GB2312"/>
          <w:color w:val="000000" w:themeColor="text1"/>
          <w:sz w:val="28"/>
          <w:szCs w:val="28"/>
          <w14:textFill>
            <w14:solidFill>
              <w14:schemeClr w14:val="tx1"/>
            </w14:solidFill>
          </w14:textFill>
        </w:rPr>
        <w:t>，亩节本</w:t>
      </w:r>
      <w:r>
        <w:rPr>
          <w:rFonts w:hint="eastAsia" w:ascii="仿宋" w:hAnsi="仿宋" w:eastAsia="仿宋" w:cs="楷体_GB2312"/>
          <w:color w:val="000000" w:themeColor="text1"/>
          <w:sz w:val="28"/>
          <w:szCs w:val="28"/>
          <w14:textFill>
            <w14:solidFill>
              <w14:schemeClr w14:val="tx1"/>
            </w14:solidFill>
          </w14:textFill>
        </w:rPr>
        <w:t>增效</w:t>
      </w:r>
      <w:r>
        <w:rPr>
          <w:rFonts w:ascii="仿宋" w:hAnsi="仿宋" w:eastAsia="仿宋" w:cs="楷体_GB2312"/>
          <w:color w:val="000000" w:themeColor="text1"/>
          <w:sz w:val="28"/>
          <w:szCs w:val="28"/>
          <w14:textFill>
            <w14:solidFill>
              <w14:schemeClr w14:val="tx1"/>
            </w14:solidFill>
          </w14:textFill>
        </w:rPr>
        <w:t>可达</w:t>
      </w:r>
      <w:r>
        <w:rPr>
          <w:rFonts w:hint="eastAsia" w:ascii="仿宋" w:hAnsi="仿宋" w:eastAsia="仿宋" w:cs="楷体_GB2312"/>
          <w:color w:val="000000" w:themeColor="text1"/>
          <w:sz w:val="28"/>
          <w:szCs w:val="28"/>
          <w14:textFill>
            <w14:solidFill>
              <w14:schemeClr w14:val="tx1"/>
            </w14:solidFill>
          </w14:textFill>
        </w:rPr>
        <w:t>760</w:t>
      </w:r>
      <w:r>
        <w:rPr>
          <w:rFonts w:ascii="仿宋" w:hAnsi="仿宋" w:eastAsia="仿宋" w:cs="楷体_GB2312"/>
          <w:color w:val="000000" w:themeColor="text1"/>
          <w:sz w:val="28"/>
          <w:szCs w:val="28"/>
          <w14:textFill>
            <w14:solidFill>
              <w14:schemeClr w14:val="tx1"/>
            </w14:solidFill>
          </w14:textFill>
        </w:rPr>
        <w:t>元。</w:t>
      </w:r>
    </w:p>
    <w:p w14:paraId="15D42A76">
      <w:pPr>
        <w:snapToGrid w:val="0"/>
        <w:spacing w:line="600" w:lineRule="exact"/>
        <w:ind w:firstLine="643" w:firstLineChars="200"/>
        <w:rPr>
          <w:rFonts w:ascii="楷体" w:hAnsi="楷体" w:eastAsia="楷体" w:cs="楷体_GB2312"/>
          <w:b/>
          <w:color w:val="000000" w:themeColor="text1"/>
          <w:sz w:val="32"/>
          <w:szCs w:val="32"/>
          <w14:textFill>
            <w14:solidFill>
              <w14:schemeClr w14:val="tx1"/>
            </w14:solidFill>
          </w14:textFill>
        </w:rPr>
      </w:pPr>
      <w:r>
        <w:rPr>
          <w:rFonts w:hint="eastAsia" w:ascii="楷体" w:hAnsi="楷体" w:eastAsia="楷体" w:cs="楷体_GB2312"/>
          <w:b/>
          <w:color w:val="000000" w:themeColor="text1"/>
          <w:sz w:val="32"/>
          <w:szCs w:val="32"/>
          <w14:textFill>
            <w14:solidFill>
              <w14:schemeClr w14:val="tx1"/>
            </w14:solidFill>
          </w14:textFill>
        </w:rPr>
        <w:t>（四）入选和获奖情况</w:t>
      </w:r>
    </w:p>
    <w:p w14:paraId="5E2A3639">
      <w:pPr>
        <w:snapToGrid w:val="0"/>
        <w:spacing w:line="60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2025年入选陕西省农业主推技术。未申报科技奖励。</w:t>
      </w:r>
    </w:p>
    <w:p w14:paraId="6388443C">
      <w:pPr>
        <w:snapToGrid w:val="0"/>
        <w:spacing w:line="60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二、技术要点</w:t>
      </w:r>
    </w:p>
    <w:p w14:paraId="2AEAD027">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（一）品种选择</w:t>
      </w:r>
    </w:p>
    <w:p w14:paraId="74F7D3ED">
      <w:pPr>
        <w:snapToGrid w:val="0"/>
        <w:spacing w:line="600" w:lineRule="exact"/>
        <w:ind w:firstLine="640" w:firstLineChars="200"/>
        <w:rPr>
          <w:rFonts w:ascii="仿宋" w:hAnsi="仿宋" w:eastAsia="仿宋" w:cs="楷体_GB2312"/>
          <w:bCs/>
          <w:color w:val="000000" w:themeColor="text1"/>
          <w:sz w:val="32"/>
          <w:szCs w:val="32"/>
          <w14:textFill>
            <w14:solidFill>
              <w14:schemeClr w14:val="tx1"/>
            </w14:solidFill>
          </w14:textFill>
        </w:rPr>
      </w:pPr>
      <w:r>
        <w:rPr>
          <w:rFonts w:hint="eastAsia" w:ascii="仿宋" w:hAnsi="仿宋" w:eastAsia="仿宋" w:cs="楷体_GB2312"/>
          <w:bCs/>
          <w:color w:val="000000" w:themeColor="text1"/>
          <w:sz w:val="32"/>
          <w:szCs w:val="32"/>
          <w14:textFill>
            <w14:solidFill>
              <w14:schemeClr w14:val="tx1"/>
            </w14:solidFill>
          </w14:textFill>
        </w:rPr>
        <w:t>因地制宜选择优质高产、熟期适宜、抗逆性强的品种。</w:t>
      </w:r>
    </w:p>
    <w:p w14:paraId="5D6ECF88">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（二）播前准备</w:t>
      </w:r>
    </w:p>
    <w:p w14:paraId="467613B7">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大豆对前茬的要求相当严格，重茬、迎茬会造成大豆减产或绝收，夏大豆最好的前茬是麦茬。前茬作物收获宜采用带有茎秆切碎和抛洒装置的联合收割机进行，割茬高度不大于</w:t>
      </w:r>
      <w:r>
        <w:rPr>
          <w:rFonts w:ascii="仿宋" w:hAnsi="仿宋" w:eastAsia="仿宋" w:cs="楷体_GB2312"/>
          <w:bCs/>
          <w:color w:val="000000" w:themeColor="text1"/>
          <w:sz w:val="28"/>
          <w:szCs w:val="28"/>
          <w14:textFill>
            <w14:solidFill>
              <w14:schemeClr w14:val="tx1"/>
            </w14:solidFill>
          </w14:textFill>
        </w:rPr>
        <w:t>15 cm，秸秆粉碎合格率不小于95 %，抛洒不均匀率不大于20 %。</w:t>
      </w:r>
    </w:p>
    <w:p w14:paraId="4E6FD06D">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（三）种子包衣</w:t>
      </w:r>
    </w:p>
    <w:p w14:paraId="6BAFAC98">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大豆种子包衣防病技术是一种成本较低的精准施药技术。它使农药附着在大豆种子上，可有效抑制和防治种子内部及外部病菌，保护种子及幼苗免受土壤中害虫及病菌的侵害。</w:t>
      </w:r>
    </w:p>
    <w:p w14:paraId="4946798C">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夏大豆播种前一般选用</w:t>
      </w:r>
      <w:r>
        <w:rPr>
          <w:rFonts w:ascii="仿宋" w:hAnsi="仿宋" w:eastAsia="仿宋" w:cs="楷体_GB2312"/>
          <w:bCs/>
          <w:color w:val="000000" w:themeColor="text1"/>
          <w:sz w:val="28"/>
          <w:szCs w:val="28"/>
          <w14:textFill>
            <w14:solidFill>
              <w14:schemeClr w14:val="tx1"/>
            </w14:solidFill>
          </w14:textFill>
        </w:rPr>
        <w:t>62.5%精甲霜灵·咯菌腈悬浮种衣剂、30%噻虫嗪悬浮种衣剂</w:t>
      </w:r>
      <w:r>
        <w:rPr>
          <w:rFonts w:hint="eastAsia" w:ascii="仿宋" w:hAnsi="仿宋" w:eastAsia="仿宋" w:cs="楷体_GB2312"/>
          <w:bCs/>
          <w:color w:val="000000" w:themeColor="text1"/>
          <w:sz w:val="28"/>
          <w:szCs w:val="28"/>
          <w14:textFill>
            <w14:solidFill>
              <w14:schemeClr w14:val="tx1"/>
            </w14:solidFill>
          </w14:textFill>
        </w:rPr>
        <w:t>，</w:t>
      </w:r>
      <w:r>
        <w:rPr>
          <w:rFonts w:ascii="仿宋" w:hAnsi="仿宋" w:eastAsia="仿宋" w:cs="楷体_GB2312"/>
          <w:bCs/>
          <w:color w:val="000000" w:themeColor="text1"/>
          <w:sz w:val="28"/>
          <w:szCs w:val="28"/>
          <w14:textFill>
            <w14:solidFill>
              <w14:schemeClr w14:val="tx1"/>
            </w14:solidFill>
          </w14:textFill>
        </w:rPr>
        <w:t>或25%噻虫嗪·精甲·咯菌腈种衣剂进行种子包衣。播种前1～3周完成包衣，药种比1.5～2 ml:1 kg,先将包衣剂按1：60的比例稀释，然后用机械对种子进行包衣，直至将种子颜色拌匀为止。种子药剂包衣后，需彻底阴干方可播种。</w:t>
      </w:r>
    </w:p>
    <w:p w14:paraId="6DB3B80E">
      <w:pPr>
        <w:snapToGrid w:val="0"/>
        <w:spacing w:line="600" w:lineRule="exact"/>
        <w:jc w:val="center"/>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Cs/>
          <w:color w:val="000000" w:themeColor="text1"/>
          <w:sz w:val="28"/>
          <w:szCs w:val="28"/>
          <w14:textFill>
            <w14:solidFill>
              <w14:schemeClr w14:val="tx1"/>
            </w14:solidFill>
          </w14:textFill>
        </w:rPr>
        <w:drawing>
          <wp:anchor distT="0" distB="0" distL="114300" distR="114300" simplePos="0" relativeHeight="251661312" behindDoc="1" locked="0" layoutInCell="1" allowOverlap="1">
            <wp:simplePos x="0" y="0"/>
            <wp:positionH relativeFrom="column">
              <wp:posOffset>95250</wp:posOffset>
            </wp:positionH>
            <wp:positionV relativeFrom="paragraph">
              <wp:posOffset>330200</wp:posOffset>
            </wp:positionV>
            <wp:extent cx="5003800" cy="2349500"/>
            <wp:effectExtent l="0" t="0" r="6350" b="0"/>
            <wp:wrapTight wrapText="bothSides">
              <wp:wrapPolygon>
                <wp:start x="0" y="0"/>
                <wp:lineTo x="0" y="21366"/>
                <wp:lineTo x="21545" y="21366"/>
                <wp:lineTo x="21545" y="0"/>
                <wp:lineTo x="0" y="0"/>
              </wp:wrapPolygon>
            </wp:wrapTight>
            <wp:docPr id="1" name="图片 1" descr="D:\工作\2024\6试验照片\20240709照片\IMG_20240412_1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2024\6试验照片\20240709照片\IMG_20240412_10402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03800" cy="2349500"/>
                    </a:xfrm>
                    <a:prstGeom prst="rect">
                      <a:avLst/>
                    </a:prstGeom>
                    <a:noFill/>
                    <a:ln>
                      <a:noFill/>
                    </a:ln>
                  </pic:spPr>
                </pic:pic>
              </a:graphicData>
            </a:graphic>
          </wp:anchor>
        </w:drawing>
      </w:r>
      <w:r>
        <w:rPr>
          <w:rFonts w:hint="eastAsia" w:ascii="仿宋" w:hAnsi="仿宋" w:eastAsia="仿宋" w:cs="楷体_GB2312"/>
          <w:b/>
          <w:bCs/>
          <w:color w:val="000000" w:themeColor="text1"/>
          <w:sz w:val="28"/>
          <w:szCs w:val="28"/>
          <w14:textFill>
            <w14:solidFill>
              <w14:schemeClr w14:val="tx1"/>
            </w14:solidFill>
          </w14:textFill>
        </w:rPr>
        <w:t>大豆种子包衣</w:t>
      </w:r>
    </w:p>
    <w:p w14:paraId="2B40A475">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（四）机械化播种</w:t>
      </w:r>
    </w:p>
    <w:p w14:paraId="36D52C61">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t>1</w:t>
      </w:r>
      <w:r>
        <w:rPr>
          <w:rFonts w:hint="eastAsia" w:ascii="仿宋" w:hAnsi="仿宋" w:eastAsia="仿宋" w:cs="楷体_GB2312"/>
          <w:b/>
          <w:bCs/>
          <w:color w:val="000000" w:themeColor="text1"/>
          <w:sz w:val="28"/>
          <w:szCs w:val="28"/>
          <w14:textFill>
            <w14:solidFill>
              <w14:schemeClr w14:val="tx1"/>
            </w14:solidFill>
          </w14:textFill>
        </w:rPr>
        <w:t>、</w:t>
      </w:r>
      <w:r>
        <w:rPr>
          <w:rFonts w:ascii="仿宋" w:hAnsi="仿宋" w:eastAsia="仿宋" w:cs="楷体_GB2312"/>
          <w:b/>
          <w:bCs/>
          <w:color w:val="000000" w:themeColor="text1"/>
          <w:sz w:val="28"/>
          <w:szCs w:val="28"/>
          <w14:textFill>
            <w14:solidFill>
              <w14:schemeClr w14:val="tx1"/>
            </w14:solidFill>
          </w14:textFill>
        </w:rPr>
        <w:t>播种期</w:t>
      </w:r>
    </w:p>
    <w:p w14:paraId="66E7E791">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前茬作物收获后及时播种，一般不晚于</w:t>
      </w:r>
      <w:r>
        <w:rPr>
          <w:rFonts w:ascii="仿宋" w:hAnsi="仿宋" w:eastAsia="仿宋" w:cs="楷体_GB2312"/>
          <w:bCs/>
          <w:color w:val="000000" w:themeColor="text1"/>
          <w:sz w:val="28"/>
          <w:szCs w:val="28"/>
          <w14:textFill>
            <w14:solidFill>
              <w14:schemeClr w14:val="tx1"/>
            </w14:solidFill>
          </w14:textFill>
        </w:rPr>
        <w:t>6月20日。</w:t>
      </w:r>
    </w:p>
    <w:p w14:paraId="1B4800BD">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t>2</w:t>
      </w:r>
      <w:r>
        <w:rPr>
          <w:rFonts w:hint="eastAsia" w:ascii="仿宋" w:hAnsi="仿宋" w:eastAsia="仿宋" w:cs="楷体_GB2312"/>
          <w:b/>
          <w:bCs/>
          <w:color w:val="000000" w:themeColor="text1"/>
          <w:sz w:val="28"/>
          <w:szCs w:val="28"/>
          <w14:textFill>
            <w14:solidFill>
              <w14:schemeClr w14:val="tx1"/>
            </w14:solidFill>
          </w14:textFill>
        </w:rPr>
        <w:t>、</w:t>
      </w:r>
      <w:r>
        <w:rPr>
          <w:rFonts w:ascii="仿宋" w:hAnsi="仿宋" w:eastAsia="仿宋" w:cs="楷体_GB2312"/>
          <w:b/>
          <w:bCs/>
          <w:color w:val="000000" w:themeColor="text1"/>
          <w:sz w:val="28"/>
          <w:szCs w:val="28"/>
          <w14:textFill>
            <w14:solidFill>
              <w14:schemeClr w14:val="tx1"/>
            </w14:solidFill>
          </w14:textFill>
        </w:rPr>
        <w:t>播种</w:t>
      </w:r>
    </w:p>
    <w:p w14:paraId="46130591">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根据地力、水肥、光热资源等因素合理确定种植密度，行距</w:t>
      </w:r>
      <w:r>
        <w:rPr>
          <w:rFonts w:ascii="仿宋" w:hAnsi="仿宋" w:eastAsia="仿宋" w:cs="楷体_GB2312"/>
          <w:bCs/>
          <w:color w:val="000000" w:themeColor="text1"/>
          <w:sz w:val="28"/>
          <w:szCs w:val="28"/>
          <w14:textFill>
            <w14:solidFill>
              <w14:schemeClr w14:val="tx1"/>
            </w14:solidFill>
          </w14:textFill>
        </w:rPr>
        <w:t>50 cm～60 cm</w:t>
      </w:r>
      <w:r>
        <w:rPr>
          <w:rFonts w:hint="eastAsia" w:ascii="仿宋" w:hAnsi="仿宋" w:eastAsia="仿宋" w:cs="楷体_GB2312"/>
          <w:bCs/>
          <w:color w:val="000000" w:themeColor="text1"/>
          <w:sz w:val="28"/>
          <w:szCs w:val="28"/>
          <w14:textFill>
            <w14:solidFill>
              <w14:schemeClr w14:val="tx1"/>
            </w14:solidFill>
          </w14:textFill>
        </w:rPr>
        <w:t>（传统行距30</w:t>
      </w:r>
      <w:r>
        <w:rPr>
          <w:rFonts w:ascii="仿宋" w:hAnsi="仿宋" w:eastAsia="仿宋" w:cs="楷体_GB2312"/>
          <w:bCs/>
          <w:color w:val="000000" w:themeColor="text1"/>
          <w:sz w:val="28"/>
          <w:szCs w:val="28"/>
          <w14:textFill>
            <w14:solidFill>
              <w14:schemeClr w14:val="tx1"/>
            </w14:solidFill>
          </w14:textFill>
        </w:rPr>
        <w:t xml:space="preserve"> cm～</w:t>
      </w:r>
      <w:r>
        <w:rPr>
          <w:rFonts w:hint="eastAsia" w:ascii="仿宋" w:hAnsi="仿宋" w:eastAsia="仿宋" w:cs="楷体_GB2312"/>
          <w:bCs/>
          <w:color w:val="000000" w:themeColor="text1"/>
          <w:sz w:val="28"/>
          <w:szCs w:val="28"/>
          <w14:textFill>
            <w14:solidFill>
              <w14:schemeClr w14:val="tx1"/>
            </w14:solidFill>
          </w14:textFill>
        </w:rPr>
        <w:t>40</w:t>
      </w:r>
      <w:r>
        <w:rPr>
          <w:rFonts w:ascii="仿宋" w:hAnsi="仿宋" w:eastAsia="仿宋" w:cs="楷体_GB2312"/>
          <w:bCs/>
          <w:color w:val="000000" w:themeColor="text1"/>
          <w:sz w:val="28"/>
          <w:szCs w:val="28"/>
          <w14:textFill>
            <w14:solidFill>
              <w14:schemeClr w14:val="tx1"/>
            </w14:solidFill>
          </w14:textFill>
        </w:rPr>
        <w:t xml:space="preserve"> cm</w:t>
      </w:r>
      <w:r>
        <w:rPr>
          <w:rFonts w:hint="eastAsia" w:ascii="仿宋" w:hAnsi="仿宋" w:eastAsia="仿宋" w:cs="楷体_GB2312"/>
          <w:bCs/>
          <w:color w:val="000000" w:themeColor="text1"/>
          <w:sz w:val="28"/>
          <w:szCs w:val="28"/>
          <w14:textFill>
            <w14:solidFill>
              <w14:schemeClr w14:val="tx1"/>
            </w14:solidFill>
          </w14:textFill>
        </w:rPr>
        <w:t>）</w:t>
      </w:r>
      <w:r>
        <w:rPr>
          <w:rFonts w:ascii="仿宋" w:hAnsi="仿宋" w:eastAsia="仿宋" w:cs="楷体_GB2312"/>
          <w:bCs/>
          <w:color w:val="000000" w:themeColor="text1"/>
          <w:sz w:val="28"/>
          <w:szCs w:val="28"/>
          <w14:textFill>
            <w14:solidFill>
              <w14:schemeClr w14:val="tx1"/>
            </w14:solidFill>
          </w14:textFill>
        </w:rPr>
        <w:t>，等行距播种，播种深度3 cm～5 cm，种肥间距8 cm～10 cm，留苗密度1.25～2万株/亩</w:t>
      </w:r>
      <w:r>
        <w:rPr>
          <w:rFonts w:hint="eastAsia" w:ascii="仿宋" w:hAnsi="仿宋" w:eastAsia="仿宋" w:cs="楷体_GB2312"/>
          <w:bCs/>
          <w:color w:val="000000" w:themeColor="text1"/>
          <w:sz w:val="28"/>
          <w:szCs w:val="28"/>
          <w14:textFill>
            <w14:solidFill>
              <w14:schemeClr w14:val="tx1"/>
            </w14:solidFill>
          </w14:textFill>
        </w:rPr>
        <w:t>（传统密度1万株/亩左右）</w:t>
      </w:r>
      <w:r>
        <w:rPr>
          <w:rFonts w:ascii="仿宋" w:hAnsi="仿宋" w:eastAsia="仿宋" w:cs="楷体_GB2312"/>
          <w:bCs/>
          <w:color w:val="000000" w:themeColor="text1"/>
          <w:sz w:val="28"/>
          <w:szCs w:val="28"/>
          <w14:textFill>
            <w14:solidFill>
              <w14:schemeClr w14:val="tx1"/>
            </w14:solidFill>
          </w14:textFill>
        </w:rPr>
        <w:t>。</w:t>
      </w:r>
    </w:p>
    <w:p w14:paraId="269CFA82">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3、</w:t>
      </w:r>
      <w:r>
        <w:rPr>
          <w:rFonts w:ascii="仿宋" w:hAnsi="仿宋" w:eastAsia="仿宋" w:cs="楷体_GB2312"/>
          <w:b/>
          <w:bCs/>
          <w:color w:val="000000" w:themeColor="text1"/>
          <w:sz w:val="28"/>
          <w:szCs w:val="28"/>
          <w14:textFill>
            <w14:solidFill>
              <w14:schemeClr w14:val="tx1"/>
            </w14:solidFill>
          </w14:textFill>
        </w:rPr>
        <w:t>施肥</w:t>
      </w:r>
    </w:p>
    <w:p w14:paraId="1030874A">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施肥与播种同时进行</w:t>
      </w:r>
      <w:r>
        <w:rPr>
          <w:rFonts w:ascii="仿宋" w:hAnsi="仿宋" w:eastAsia="仿宋" w:cs="楷体_GB2312"/>
          <w:bCs/>
          <w:color w:val="000000" w:themeColor="text1"/>
          <w:sz w:val="28"/>
          <w:szCs w:val="28"/>
          <w14:textFill>
            <w14:solidFill>
              <w14:schemeClr w14:val="tx1"/>
            </w14:solidFill>
          </w14:textFill>
        </w:rPr>
        <w:t>,结合播种施缓释复合肥（N:P</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O</w:t>
      </w:r>
      <w:r>
        <w:rPr>
          <w:rFonts w:ascii="仿宋" w:hAnsi="仿宋" w:eastAsia="仿宋" w:cs="楷体_GB2312"/>
          <w:bCs/>
          <w:color w:val="000000" w:themeColor="text1"/>
          <w:sz w:val="28"/>
          <w:szCs w:val="28"/>
          <w:vertAlign w:val="subscript"/>
          <w14:textFill>
            <w14:solidFill>
              <w14:schemeClr w14:val="tx1"/>
            </w14:solidFill>
          </w14:textFill>
        </w:rPr>
        <w:t>5</w:t>
      </w:r>
      <w:r>
        <w:rPr>
          <w:rFonts w:ascii="仿宋" w:hAnsi="仿宋" w:eastAsia="仿宋" w:cs="楷体_GB2312"/>
          <w:bCs/>
          <w:color w:val="000000" w:themeColor="text1"/>
          <w:sz w:val="28"/>
          <w:szCs w:val="28"/>
          <w14:textFill>
            <w14:solidFill>
              <w14:schemeClr w14:val="tx1"/>
            </w14:solidFill>
          </w14:textFill>
        </w:rPr>
        <w:t>:KO</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=15:15:15</w:t>
      </w:r>
      <w:r>
        <w:rPr>
          <w:rFonts w:hint="eastAsia" w:ascii="仿宋" w:hAnsi="仿宋" w:eastAsia="仿宋" w:cs="楷体_GB2312"/>
          <w:bCs/>
          <w:color w:val="000000" w:themeColor="text1"/>
          <w:sz w:val="28"/>
          <w:szCs w:val="28"/>
          <w14:textFill>
            <w14:solidFill>
              <w14:schemeClr w14:val="tx1"/>
            </w14:solidFill>
          </w14:textFill>
        </w:rPr>
        <w:t>，</w:t>
      </w:r>
      <w:r>
        <w:rPr>
          <w:rFonts w:ascii="仿宋" w:hAnsi="仿宋" w:eastAsia="仿宋" w:cs="楷体_GB2312"/>
          <w:bCs/>
          <w:color w:val="000000" w:themeColor="text1"/>
          <w:sz w:val="28"/>
          <w:szCs w:val="28"/>
          <w14:textFill>
            <w14:solidFill>
              <w14:schemeClr w14:val="tx1"/>
            </w14:solidFill>
          </w14:textFill>
        </w:rPr>
        <w:t>或N:P</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O</w:t>
      </w:r>
      <w:r>
        <w:rPr>
          <w:rFonts w:ascii="仿宋" w:hAnsi="仿宋" w:eastAsia="仿宋" w:cs="楷体_GB2312"/>
          <w:bCs/>
          <w:color w:val="000000" w:themeColor="text1"/>
          <w:sz w:val="28"/>
          <w:szCs w:val="28"/>
          <w:vertAlign w:val="subscript"/>
          <w14:textFill>
            <w14:solidFill>
              <w14:schemeClr w14:val="tx1"/>
            </w14:solidFill>
          </w14:textFill>
        </w:rPr>
        <w:t>5</w:t>
      </w:r>
      <w:r>
        <w:rPr>
          <w:rFonts w:ascii="仿宋" w:hAnsi="仿宋" w:eastAsia="仿宋" w:cs="楷体_GB2312"/>
          <w:bCs/>
          <w:color w:val="000000" w:themeColor="text1"/>
          <w:sz w:val="28"/>
          <w:szCs w:val="28"/>
          <w14:textFill>
            <w14:solidFill>
              <w14:schemeClr w14:val="tx1"/>
            </w14:solidFill>
          </w14:textFill>
        </w:rPr>
        <w:t>:KO</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=18:18:18）20～25 kg/亩。切忌种肥同位，以免烧种。</w:t>
      </w:r>
    </w:p>
    <w:p w14:paraId="3C0F7692">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4、</w:t>
      </w:r>
      <w:r>
        <w:rPr>
          <w:rFonts w:ascii="仿宋" w:hAnsi="仿宋" w:eastAsia="仿宋" w:cs="楷体_GB2312"/>
          <w:b/>
          <w:bCs/>
          <w:color w:val="000000" w:themeColor="text1"/>
          <w:sz w:val="28"/>
          <w:szCs w:val="28"/>
          <w14:textFill>
            <w14:solidFill>
              <w14:schemeClr w14:val="tx1"/>
            </w14:solidFill>
          </w14:textFill>
        </w:rPr>
        <w:t>作业</w:t>
      </w:r>
    </w:p>
    <w:p w14:paraId="07B1EF0E">
      <w:pPr>
        <w:snapToGrid w:val="0"/>
        <w:spacing w:line="600" w:lineRule="exact"/>
        <w:ind w:firstLine="800" w:firstLineChars="200"/>
        <w:rPr>
          <w:rFonts w:ascii="仿宋" w:hAnsi="仿宋" w:eastAsia="仿宋" w:cs="楷体_GB2312"/>
          <w:bCs/>
          <w:color w:val="000000" w:themeColor="text1"/>
          <w:sz w:val="28"/>
          <w:szCs w:val="28"/>
          <w14:textFill>
            <w14:solidFill>
              <w14:schemeClr w14:val="tx1"/>
            </w14:solidFill>
          </w14:textFill>
        </w:rPr>
      </w:pPr>
      <w:r>
        <w:rPr>
          <w:rFonts w:hint="eastAsia"/>
          <w:sz w:val="40"/>
        </w:rPr>
        <w:drawing>
          <wp:anchor distT="0" distB="0" distL="114300" distR="114300" simplePos="0" relativeHeight="251659264" behindDoc="1" locked="0" layoutInCell="1" allowOverlap="1">
            <wp:simplePos x="0" y="0"/>
            <wp:positionH relativeFrom="column">
              <wp:posOffset>142875</wp:posOffset>
            </wp:positionH>
            <wp:positionV relativeFrom="paragraph">
              <wp:posOffset>1612900</wp:posOffset>
            </wp:positionV>
            <wp:extent cx="5067300" cy="2857500"/>
            <wp:effectExtent l="0" t="0" r="0" b="0"/>
            <wp:wrapTight wrapText="bothSides">
              <wp:wrapPolygon>
                <wp:start x="0" y="0"/>
                <wp:lineTo x="0" y="21456"/>
                <wp:lineTo x="21519" y="21456"/>
                <wp:lineTo x="21519" y="0"/>
                <wp:lineTo x="0" y="0"/>
              </wp:wrapPolygon>
            </wp:wrapTight>
            <wp:docPr id="15" name="图片 15" descr="1播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播种"/>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7300" cy="2857500"/>
                    </a:xfrm>
                    <a:prstGeom prst="rect">
                      <a:avLst/>
                    </a:prstGeom>
                  </pic:spPr>
                </pic:pic>
              </a:graphicData>
            </a:graphic>
          </wp:anchor>
        </w:drawing>
      </w:r>
      <w:r>
        <w:rPr>
          <w:rFonts w:hint="eastAsia" w:ascii="仿宋" w:hAnsi="仿宋" w:eastAsia="仿宋" w:cs="楷体_GB2312"/>
          <w:bCs/>
          <w:color w:val="000000" w:themeColor="text1"/>
          <w:sz w:val="28"/>
          <w:szCs w:val="28"/>
          <w14:textFill>
            <w14:solidFill>
              <w14:schemeClr w14:val="tx1"/>
            </w14:solidFill>
          </w14:textFill>
        </w:rPr>
        <w:t>采用施肥播种机一次性完成灭茬、开沟、施肥、播种和覆土作业。播种时，要求下籽均匀，播深一致，籽入湿土，无漏无重，覆土均匀严密，均匀无断条、做到不重播、不深播和不漏播，实现一次播种保全苗。</w:t>
      </w:r>
    </w:p>
    <w:p w14:paraId="49D48CFF">
      <w:pPr>
        <w:snapToGrid w:val="0"/>
        <w:spacing w:line="600" w:lineRule="exact"/>
        <w:jc w:val="center"/>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夏大豆机械化播种</w:t>
      </w:r>
    </w:p>
    <w:p w14:paraId="6E6D06B7">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（五）田间管理</w:t>
      </w:r>
    </w:p>
    <w:p w14:paraId="403F98AC">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1、</w:t>
      </w:r>
      <w:r>
        <w:rPr>
          <w:rFonts w:ascii="仿宋" w:hAnsi="仿宋" w:eastAsia="仿宋" w:cs="楷体_GB2312"/>
          <w:b/>
          <w:bCs/>
          <w:color w:val="000000" w:themeColor="text1"/>
          <w:sz w:val="28"/>
          <w:szCs w:val="28"/>
          <w14:textFill>
            <w14:solidFill>
              <w14:schemeClr w14:val="tx1"/>
            </w14:solidFill>
          </w14:textFill>
        </w:rPr>
        <w:t>化学除草</w:t>
      </w:r>
    </w:p>
    <w:p w14:paraId="57B7B2B8">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杂草</w:t>
      </w:r>
      <w:r>
        <w:rPr>
          <w:rFonts w:ascii="仿宋" w:hAnsi="仿宋" w:eastAsia="仿宋" w:cs="楷体_GB2312"/>
          <w:bCs/>
          <w:color w:val="000000" w:themeColor="text1"/>
          <w:sz w:val="28"/>
          <w:szCs w:val="28"/>
          <w14:textFill>
            <w14:solidFill>
              <w14:schemeClr w14:val="tx1"/>
            </w14:solidFill>
          </w14:textFill>
        </w:rPr>
        <w:t>3～5叶期，大豆2～4片复叶期，宜选用25%氟磺胺草醚水剂40 g/亩+10%精喹禾灵乳油40 ml/亩，兑水30 kg～40 kg/亩进行防除。</w:t>
      </w:r>
    </w:p>
    <w:p w14:paraId="669EA1BB">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2、</w:t>
      </w:r>
      <w:r>
        <w:rPr>
          <w:rFonts w:ascii="仿宋" w:hAnsi="仿宋" w:eastAsia="仿宋" w:cs="楷体_GB2312"/>
          <w:b/>
          <w:bCs/>
          <w:color w:val="000000" w:themeColor="text1"/>
          <w:sz w:val="28"/>
          <w:szCs w:val="28"/>
          <w14:textFill>
            <w14:solidFill>
              <w14:schemeClr w14:val="tx1"/>
            </w14:solidFill>
          </w14:textFill>
        </w:rPr>
        <w:t>一喷多防</w:t>
      </w:r>
    </w:p>
    <w:p w14:paraId="2C702B99">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于大豆初花期进行防病（病毒病、荚枯病、灰斑病等）、防虫（卷叶螟、豆荚螟、食心虫、点蜂缘蝽、斜纹叶蛾等）和强健植株。宜选用</w:t>
      </w:r>
      <w:r>
        <w:rPr>
          <w:rFonts w:ascii="仿宋" w:hAnsi="仿宋" w:eastAsia="仿宋" w:cs="楷体_GB2312"/>
          <w:bCs/>
          <w:color w:val="000000" w:themeColor="text1"/>
          <w:sz w:val="28"/>
          <w:szCs w:val="28"/>
          <w14:textFill>
            <w14:solidFill>
              <w14:schemeClr w14:val="tx1"/>
            </w14:solidFill>
          </w14:textFill>
        </w:rPr>
        <w:t>32.5%苯甲·嘧菌酯（30 ml/亩）+40%毒死蜱（80 ml/亩）+2.5%高效氯氟氰菊酯（40 ml/亩）+99%磷酸二氢钾（100 g/亩），兑水40 kg进行喷雾。每7～10天一次，连喷2～3次。</w:t>
      </w:r>
      <w:r>
        <w:rPr>
          <w:rFonts w:hint="eastAsia" w:ascii="仿宋" w:hAnsi="仿宋" w:eastAsia="仿宋" w:cs="楷体_GB2312"/>
          <w:bCs/>
          <w:color w:val="000000" w:themeColor="text1"/>
          <w:sz w:val="28"/>
          <w:szCs w:val="28"/>
          <w14:textFill>
            <w14:solidFill>
              <w14:schemeClr w14:val="tx1"/>
            </w14:solidFill>
          </w14:textFill>
        </w:rPr>
        <w:t>同类药剂可替换使用。</w:t>
      </w:r>
    </w:p>
    <w:p w14:paraId="56FCAEFA">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3、植保</w:t>
      </w:r>
      <w:r>
        <w:rPr>
          <w:rFonts w:ascii="仿宋" w:hAnsi="仿宋" w:eastAsia="仿宋" w:cs="楷体_GB2312"/>
          <w:b/>
          <w:bCs/>
          <w:color w:val="000000" w:themeColor="text1"/>
          <w:sz w:val="28"/>
          <w:szCs w:val="28"/>
          <w14:textFill>
            <w14:solidFill>
              <w14:schemeClr w14:val="tx1"/>
            </w14:solidFill>
          </w14:textFill>
        </w:rPr>
        <w:t>无人</w:t>
      </w:r>
      <w:r>
        <w:rPr>
          <w:rFonts w:hint="eastAsia" w:ascii="仿宋" w:hAnsi="仿宋" w:eastAsia="仿宋" w:cs="楷体_GB2312"/>
          <w:b/>
          <w:bCs/>
          <w:color w:val="000000" w:themeColor="text1"/>
          <w:sz w:val="28"/>
          <w:szCs w:val="28"/>
          <w14:textFill>
            <w14:solidFill>
              <w14:schemeClr w14:val="tx1"/>
            </w14:solidFill>
          </w14:textFill>
        </w:rPr>
        <w:t>飞</w:t>
      </w:r>
      <w:r>
        <w:rPr>
          <w:rFonts w:ascii="仿宋" w:hAnsi="仿宋" w:eastAsia="仿宋" w:cs="楷体_GB2312"/>
          <w:b/>
          <w:bCs/>
          <w:color w:val="000000" w:themeColor="text1"/>
          <w:sz w:val="28"/>
          <w:szCs w:val="28"/>
          <w14:textFill>
            <w14:solidFill>
              <w14:schemeClr w14:val="tx1"/>
            </w14:solidFill>
          </w14:textFill>
        </w:rPr>
        <w:t>机作业</w:t>
      </w:r>
    </w:p>
    <w:p w14:paraId="4C781403">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margin">
              <wp:posOffset>19050</wp:posOffset>
            </wp:positionH>
            <wp:positionV relativeFrom="margin">
              <wp:posOffset>2425065</wp:posOffset>
            </wp:positionV>
            <wp:extent cx="5274310" cy="2426335"/>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426335"/>
                    </a:xfrm>
                    <a:prstGeom prst="rect">
                      <a:avLst/>
                    </a:prstGeom>
                  </pic:spPr>
                </pic:pic>
              </a:graphicData>
            </a:graphic>
          </wp:anchor>
        </w:drawing>
      </w:r>
      <w:r>
        <w:rPr>
          <w:rFonts w:hint="eastAsia" w:ascii="仿宋" w:hAnsi="仿宋" w:eastAsia="仿宋" w:cs="楷体_GB2312"/>
          <w:bCs/>
          <w:color w:val="000000" w:themeColor="text1"/>
          <w:sz w:val="28"/>
          <w:szCs w:val="28"/>
          <w14:textFill>
            <w14:solidFill>
              <w14:schemeClr w14:val="tx1"/>
            </w14:solidFill>
          </w14:textFill>
        </w:rPr>
        <w:t>植保无人飞机飞行高度距离大豆顶端不大于</w:t>
      </w:r>
      <w:r>
        <w:rPr>
          <w:rFonts w:ascii="仿宋" w:hAnsi="仿宋" w:eastAsia="仿宋" w:cs="楷体_GB2312"/>
          <w:bCs/>
          <w:color w:val="000000" w:themeColor="text1"/>
          <w:sz w:val="28"/>
          <w:szCs w:val="28"/>
          <w14:textFill>
            <w14:solidFill>
              <w14:schemeClr w14:val="tx1"/>
            </w14:solidFill>
          </w14:textFill>
        </w:rPr>
        <w:t>2 m，飞行速度不大于3 m/s，液体流速不小于1.3 L/min。喷雾均匀，不重喷、不漏喷、低漂移，雾滴直径250μm～400μm。喷洒作业中应注意风速、风向，大风天应停止作业。</w:t>
      </w:r>
    </w:p>
    <w:p w14:paraId="31D32DD8">
      <w:pPr>
        <w:snapToGrid w:val="0"/>
        <w:spacing w:line="600" w:lineRule="exact"/>
        <w:jc w:val="center"/>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植保无人飞机一喷多防</w:t>
      </w:r>
    </w:p>
    <w:p w14:paraId="45CAA373">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t>4</w:t>
      </w:r>
      <w:r>
        <w:rPr>
          <w:rFonts w:hint="eastAsia" w:ascii="仿宋" w:hAnsi="仿宋" w:eastAsia="仿宋" w:cs="楷体_GB2312"/>
          <w:b/>
          <w:bCs/>
          <w:color w:val="000000" w:themeColor="text1"/>
          <w:sz w:val="28"/>
          <w:szCs w:val="28"/>
          <w14:textFill>
            <w14:solidFill>
              <w14:schemeClr w14:val="tx1"/>
            </w14:solidFill>
          </w14:textFill>
        </w:rPr>
        <w:t>、</w:t>
      </w:r>
      <w:r>
        <w:rPr>
          <w:rFonts w:ascii="仿宋" w:hAnsi="仿宋" w:eastAsia="仿宋" w:cs="楷体_GB2312"/>
          <w:b/>
          <w:bCs/>
          <w:color w:val="000000" w:themeColor="text1"/>
          <w:sz w:val="28"/>
          <w:szCs w:val="28"/>
          <w14:textFill>
            <w14:solidFill>
              <w14:schemeClr w14:val="tx1"/>
            </w14:solidFill>
          </w14:textFill>
        </w:rPr>
        <w:t>灌溉</w:t>
      </w:r>
    </w:p>
    <w:p w14:paraId="55A48860">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在夏大豆生育期间如遇干旱应及时灌溉。</w:t>
      </w:r>
    </w:p>
    <w:p w14:paraId="3EC23F7A">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（六）机械化收获</w:t>
      </w:r>
    </w:p>
    <w:p w14:paraId="1D274207">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1、</w:t>
      </w:r>
      <w:r>
        <w:rPr>
          <w:rFonts w:ascii="仿宋" w:hAnsi="仿宋" w:eastAsia="仿宋" w:cs="楷体_GB2312"/>
          <w:b/>
          <w:bCs/>
          <w:color w:val="000000" w:themeColor="text1"/>
          <w:sz w:val="28"/>
          <w:szCs w:val="28"/>
          <w14:textFill>
            <w14:solidFill>
              <w14:schemeClr w14:val="tx1"/>
            </w14:solidFill>
          </w14:textFill>
        </w:rPr>
        <w:t>收获期</w:t>
      </w:r>
    </w:p>
    <w:p w14:paraId="07811208">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当大豆叶片基本脱落，籽粒呈现本品种固有色泽，含水量低于</w:t>
      </w:r>
      <w:r>
        <w:rPr>
          <w:rFonts w:ascii="仿宋" w:hAnsi="仿宋" w:eastAsia="仿宋" w:cs="楷体_GB2312"/>
          <w:bCs/>
          <w:color w:val="000000" w:themeColor="text1"/>
          <w:sz w:val="28"/>
          <w:szCs w:val="28"/>
          <w14:textFill>
            <w14:solidFill>
              <w14:schemeClr w14:val="tx1"/>
            </w14:solidFill>
          </w14:textFill>
        </w:rPr>
        <w:t>20%时，选择干燥、无露滴的晴天进行机械收获。</w:t>
      </w:r>
    </w:p>
    <w:p w14:paraId="46430BC4">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2、催熟</w:t>
      </w:r>
    </w:p>
    <w:p w14:paraId="5501A802">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如部分品种贪青晚熟，用</w:t>
      </w:r>
      <w:r>
        <w:rPr>
          <w:rFonts w:ascii="仿宋" w:hAnsi="仿宋" w:eastAsia="仿宋" w:cs="楷体_GB2312"/>
          <w:bCs/>
          <w:color w:val="000000" w:themeColor="text1"/>
          <w:sz w:val="28"/>
          <w:szCs w:val="28"/>
          <w14:textFill>
            <w14:solidFill>
              <w14:schemeClr w14:val="tx1"/>
            </w14:solidFill>
          </w14:textFill>
        </w:rPr>
        <w:t>40%乙烯利水剂100～200 g/亩兑水30～40 kg/亩于收获前10～15天进行催熟。</w:t>
      </w:r>
    </w:p>
    <w:p w14:paraId="7E61B28A">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3、</w:t>
      </w:r>
      <w:r>
        <w:rPr>
          <w:rFonts w:ascii="仿宋" w:hAnsi="仿宋" w:eastAsia="仿宋" w:cs="楷体_GB2312"/>
          <w:b/>
          <w:bCs/>
          <w:color w:val="000000" w:themeColor="text1"/>
          <w:sz w:val="28"/>
          <w:szCs w:val="28"/>
          <w14:textFill>
            <w14:solidFill>
              <w14:schemeClr w14:val="tx1"/>
            </w14:solidFill>
          </w14:textFill>
        </w:rPr>
        <w:t>作业</w:t>
      </w:r>
    </w:p>
    <w:p w14:paraId="75249473">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ascii="仿宋" w:hAnsi="仿宋" w:eastAsia="仿宋" w:cs="楷体_GB2312"/>
          <w:bCs/>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margin">
              <wp:posOffset>56515</wp:posOffset>
            </wp:positionH>
            <wp:positionV relativeFrom="margin">
              <wp:posOffset>2075815</wp:posOffset>
            </wp:positionV>
            <wp:extent cx="5274310" cy="2425700"/>
            <wp:effectExtent l="0" t="0" r="2540" b="0"/>
            <wp:wrapSquare wrapText="bothSides"/>
            <wp:docPr id="4" name="图片 4" descr="D:\工作\2024\6试验照片\20241012收豆子\微信图片_2024101409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4\6试验照片\20241012收豆子\微信图片_2024101409363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5274310" cy="2425700"/>
                    </a:xfrm>
                    <a:prstGeom prst="rect">
                      <a:avLst/>
                    </a:prstGeom>
                    <a:noFill/>
                    <a:ln>
                      <a:noFill/>
                    </a:ln>
                  </pic:spPr>
                </pic:pic>
              </a:graphicData>
            </a:graphic>
          </wp:anchor>
        </w:drawing>
      </w:r>
      <w:r>
        <w:rPr>
          <w:rFonts w:hint="eastAsia" w:ascii="仿宋" w:hAnsi="仿宋" w:eastAsia="仿宋" w:cs="楷体_GB2312"/>
          <w:bCs/>
          <w:color w:val="000000" w:themeColor="text1"/>
          <w:sz w:val="28"/>
          <w:szCs w:val="28"/>
          <w14:textFill>
            <w14:solidFill>
              <w14:schemeClr w14:val="tx1"/>
            </w14:solidFill>
          </w14:textFill>
        </w:rPr>
        <w:t>选用履带自走式大豆联合收割机或经过调试的小麦联合收割机进行收获。为保证大豆品质和收获质量，要求割茬要低，不留底荚，不丢枝，田间损失率不大于</w:t>
      </w:r>
      <w:r>
        <w:rPr>
          <w:rFonts w:ascii="仿宋" w:hAnsi="仿宋" w:eastAsia="仿宋" w:cs="楷体_GB2312"/>
          <w:bCs/>
          <w:color w:val="000000" w:themeColor="text1"/>
          <w:sz w:val="28"/>
          <w:szCs w:val="28"/>
          <w14:textFill>
            <w14:solidFill>
              <w14:schemeClr w14:val="tx1"/>
            </w14:solidFill>
          </w14:textFill>
        </w:rPr>
        <w:t>1%，破碎率不大于5%，脱粒损失率不大于1%。</w:t>
      </w:r>
    </w:p>
    <w:p w14:paraId="504D28A1">
      <w:pPr>
        <w:snapToGrid w:val="0"/>
        <w:spacing w:line="600" w:lineRule="exact"/>
        <w:jc w:val="center"/>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夏大豆机械化收获</w:t>
      </w:r>
    </w:p>
    <w:p w14:paraId="67439D82">
      <w:pPr>
        <w:adjustRightInd w:val="0"/>
        <w:snapToGrid w:val="0"/>
        <w:spacing w:line="600" w:lineRule="exact"/>
        <w:ind w:firstLine="64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三、适宜区域</w:t>
      </w:r>
    </w:p>
    <w:p w14:paraId="1DDD6BB8">
      <w:pPr>
        <w:adjustRightInd w:val="0"/>
        <w:snapToGrid w:val="0"/>
        <w:spacing w:line="600" w:lineRule="exact"/>
        <w:ind w:firstLine="64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该技术适宜陕西省夏大豆种植区以及部分春大豆种植区。</w:t>
      </w:r>
    </w:p>
    <w:p w14:paraId="0271D464">
      <w:pPr>
        <w:adjustRightInd w:val="0"/>
        <w:snapToGrid w:val="0"/>
        <w:spacing w:line="600" w:lineRule="exact"/>
        <w:ind w:firstLine="64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四、注意事项</w:t>
      </w:r>
    </w:p>
    <w:p w14:paraId="4BCDACA4">
      <w:pPr>
        <w:adjustRightInd w:val="0"/>
        <w:snapToGrid w:val="0"/>
        <w:spacing w:line="600" w:lineRule="exact"/>
        <w:ind w:firstLine="640"/>
        <w:rPr>
          <w:rFonts w:ascii="楷体" w:hAnsi="楷体" w:eastAsia="楷体"/>
          <w:b/>
          <w:color w:val="000000" w:themeColor="text1"/>
          <w:sz w:val="32"/>
          <w:szCs w:val="32"/>
          <w14:textFill>
            <w14:solidFill>
              <w14:schemeClr w14:val="tx1"/>
            </w14:solidFill>
          </w14:textFill>
        </w:rPr>
      </w:pPr>
      <w:r>
        <w:rPr>
          <w:rFonts w:hint="eastAsia" w:ascii="楷体" w:hAnsi="楷体" w:eastAsia="楷体"/>
          <w:b/>
          <w:sz w:val="32"/>
          <w:szCs w:val="32"/>
        </w:rPr>
        <w:t>（一）播种</w:t>
      </w:r>
    </w:p>
    <w:p w14:paraId="237EDEBD">
      <w:pPr>
        <w:ind w:firstLine="560" w:firstLineChars="200"/>
        <w:rPr>
          <w:rFonts w:ascii="仿宋" w:hAnsi="仿宋" w:eastAsia="仿宋"/>
          <w:sz w:val="28"/>
          <w:szCs w:val="28"/>
        </w:rPr>
      </w:pPr>
      <w:r>
        <w:rPr>
          <w:rFonts w:hint="eastAsia" w:ascii="仿宋" w:hAnsi="仿宋" w:eastAsia="仿宋"/>
          <w:sz w:val="28"/>
          <w:szCs w:val="28"/>
        </w:rPr>
        <w:t>播种前应根据农艺要求，调整好播种机，进行试播，检查作业质量。播种时要匀速行驶，播后镇压土壤，保证表面无硬盖和龟裂纹。</w:t>
      </w:r>
    </w:p>
    <w:p w14:paraId="11035083">
      <w:pPr>
        <w:ind w:firstLine="643" w:firstLineChars="200"/>
        <w:rPr>
          <w:rFonts w:ascii="楷体" w:hAnsi="楷体" w:eastAsia="楷体"/>
          <w:b/>
          <w:sz w:val="32"/>
          <w:szCs w:val="32"/>
        </w:rPr>
      </w:pPr>
      <w:r>
        <w:rPr>
          <w:rFonts w:hint="eastAsia" w:ascii="楷体" w:hAnsi="楷体" w:eastAsia="楷体"/>
          <w:b/>
          <w:sz w:val="32"/>
          <w:szCs w:val="32"/>
        </w:rPr>
        <w:t>（二）化学除草</w:t>
      </w:r>
    </w:p>
    <w:p w14:paraId="1406A672">
      <w:pPr>
        <w:ind w:firstLine="560" w:firstLineChars="200"/>
        <w:rPr>
          <w:rFonts w:ascii="仿宋" w:hAnsi="仿宋" w:eastAsia="仿宋"/>
          <w:sz w:val="28"/>
          <w:szCs w:val="28"/>
        </w:rPr>
      </w:pPr>
      <w:r>
        <w:rPr>
          <w:rFonts w:hint="eastAsia" w:ascii="仿宋" w:hAnsi="仿宋" w:eastAsia="仿宋"/>
          <w:sz w:val="28"/>
          <w:szCs w:val="28"/>
        </w:rPr>
        <w:t>除草剂使用过程中避免时间过晚、用量过大和重复喷施，以免产生药害。同时，应注意与非豆科作物的安全距离，避免产生药害。</w:t>
      </w:r>
    </w:p>
    <w:p w14:paraId="45876B90">
      <w:pPr>
        <w:ind w:firstLine="643" w:firstLineChars="200"/>
        <w:rPr>
          <w:rFonts w:ascii="楷体" w:hAnsi="楷体" w:eastAsia="楷体"/>
          <w:b/>
          <w:sz w:val="32"/>
          <w:szCs w:val="32"/>
        </w:rPr>
      </w:pPr>
      <w:r>
        <w:rPr>
          <w:rFonts w:hint="eastAsia" w:ascii="楷体" w:hAnsi="楷体" w:eastAsia="楷体"/>
          <w:b/>
          <w:sz w:val="32"/>
          <w:szCs w:val="32"/>
        </w:rPr>
        <w:t>（三）机械收获</w:t>
      </w:r>
    </w:p>
    <w:p w14:paraId="487890CD">
      <w:pPr>
        <w:ind w:firstLine="560" w:firstLineChars="200"/>
        <w:rPr>
          <w:rFonts w:ascii="仿宋" w:hAnsi="仿宋" w:eastAsia="仿宋"/>
          <w:sz w:val="28"/>
          <w:szCs w:val="28"/>
        </w:rPr>
      </w:pPr>
      <w:r>
        <w:rPr>
          <w:rFonts w:hint="eastAsia" w:ascii="仿宋" w:hAnsi="仿宋" w:eastAsia="仿宋"/>
          <w:sz w:val="28"/>
          <w:szCs w:val="28"/>
        </w:rPr>
        <w:t>作业之前进行试收割，如出现大豆籽粒破损、分离不清等问题应及时停机调整。收割机行进方向应与大豆的种植行向一致，可以有效减轻收割阻力，降低机收损失。行进速度应以尽量减少损失率为依据，一般以</w:t>
      </w:r>
      <w:r>
        <w:rPr>
          <w:rFonts w:ascii="仿宋" w:hAnsi="仿宋" w:eastAsia="仿宋"/>
          <w:sz w:val="28"/>
          <w:szCs w:val="28"/>
        </w:rPr>
        <w:t>2档为主，可根据实际情况进行调</w:t>
      </w:r>
      <w:r>
        <w:rPr>
          <w:rFonts w:hint="eastAsia" w:ascii="仿宋" w:hAnsi="仿宋" w:eastAsia="仿宋"/>
          <w:sz w:val="28"/>
          <w:szCs w:val="28"/>
        </w:rPr>
        <w:t>整，同时以无极变速控制割台喂入量。</w:t>
      </w:r>
    </w:p>
    <w:p w14:paraId="38A552B5">
      <w:pPr>
        <w:snapToGrid w:val="0"/>
        <w:spacing w:line="60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五、技术依托单位</w:t>
      </w:r>
    </w:p>
    <w:p w14:paraId="760481F5">
      <w:pPr>
        <w:adjustRightInd w:val="0"/>
        <w:snapToGrid w:val="0"/>
        <w:spacing w:line="600" w:lineRule="exact"/>
        <w:ind w:firstLine="562" w:firstLineChars="200"/>
        <w:rPr>
          <w:rFonts w:ascii="仿宋" w:hAnsi="仿宋" w:eastAsia="仿宋" w:cs="仿宋_GB2312"/>
          <w:b/>
          <w:sz w:val="28"/>
          <w:szCs w:val="28"/>
        </w:rPr>
      </w:pPr>
      <w:r>
        <w:rPr>
          <w:rFonts w:hint="eastAsia" w:ascii="仿宋" w:hAnsi="仿宋" w:eastAsia="仿宋" w:cs="仿宋_GB2312"/>
          <w:b/>
          <w:sz w:val="28"/>
          <w:szCs w:val="28"/>
        </w:rPr>
        <w:t>宝鸡市农业科学研究院</w:t>
      </w:r>
    </w:p>
    <w:p w14:paraId="419FB670">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联系地址：宝鸡市岐山县朝阳路</w:t>
      </w:r>
      <w:r>
        <w:rPr>
          <w:rFonts w:ascii="仿宋" w:hAnsi="仿宋" w:eastAsia="仿宋" w:cs="仿宋_GB2312"/>
          <w:sz w:val="28"/>
          <w:szCs w:val="28"/>
        </w:rPr>
        <w:t>56号</w:t>
      </w:r>
    </w:p>
    <w:p w14:paraId="7ABF3C8F">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邮政编码：722499</w:t>
      </w:r>
    </w:p>
    <w:p w14:paraId="7D42DBBF">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 系 人：屈  洋</w:t>
      </w:r>
    </w:p>
    <w:p w14:paraId="151F29B3">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联系电话：15129852855</w:t>
      </w:r>
    </w:p>
    <w:p w14:paraId="3E595573">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电子邮箱：</w:t>
      </w:r>
      <w:r>
        <w:fldChar w:fldCharType="begin"/>
      </w:r>
      <w:r>
        <w:instrText xml:space="preserve"> HYPERLINK "mailto:man2019@163.com" </w:instrText>
      </w:r>
      <w:r>
        <w:fldChar w:fldCharType="separate"/>
      </w:r>
      <w:r>
        <w:rPr>
          <w:rStyle w:val="7"/>
          <w:rFonts w:hint="eastAsia" w:ascii="仿宋" w:hAnsi="仿宋" w:eastAsia="仿宋" w:cs="仿宋_GB2312"/>
          <w:color w:val="auto"/>
          <w:sz w:val="28"/>
          <w:szCs w:val="28"/>
          <w:u w:val="none"/>
        </w:rPr>
        <w:t>man2019@</w:t>
      </w:r>
      <w:r>
        <w:rPr>
          <w:rStyle w:val="7"/>
          <w:rFonts w:ascii="仿宋" w:hAnsi="仿宋" w:eastAsia="仿宋" w:cs="仿宋_GB2312"/>
          <w:color w:val="auto"/>
          <w:sz w:val="28"/>
          <w:szCs w:val="28"/>
          <w:u w:val="none"/>
        </w:rPr>
        <w:t>1</w:t>
      </w:r>
      <w:r>
        <w:rPr>
          <w:rStyle w:val="7"/>
          <w:rFonts w:hint="eastAsia" w:ascii="仿宋" w:hAnsi="仿宋" w:eastAsia="仿宋" w:cs="仿宋_GB2312"/>
          <w:color w:val="auto"/>
          <w:sz w:val="28"/>
          <w:szCs w:val="28"/>
          <w:u w:val="none"/>
        </w:rPr>
        <w:t>63.</w:t>
      </w:r>
      <w:r>
        <w:rPr>
          <w:rStyle w:val="7"/>
          <w:rFonts w:ascii="仿宋" w:hAnsi="仿宋" w:eastAsia="仿宋" w:cs="仿宋_GB2312"/>
          <w:color w:val="auto"/>
          <w:sz w:val="28"/>
          <w:szCs w:val="28"/>
          <w:u w:val="none"/>
        </w:rPr>
        <w:t>com</w:t>
      </w:r>
      <w:r>
        <w:rPr>
          <w:rStyle w:val="7"/>
          <w:rFonts w:ascii="仿宋" w:hAnsi="仿宋" w:eastAsia="仿宋" w:cs="仿宋_GB2312"/>
          <w:color w:val="auto"/>
          <w:sz w:val="28"/>
          <w:szCs w:val="28"/>
          <w:u w:val="none"/>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2C8C14"/>
    <w:multiLevelType w:val="singleLevel"/>
    <w:tmpl w:val="592C8C14"/>
    <w:lvl w:ilvl="0" w:tentative="0">
      <w:start w:val="1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AE"/>
    <w:rsid w:val="00061527"/>
    <w:rsid w:val="000A43BD"/>
    <w:rsid w:val="000D0353"/>
    <w:rsid w:val="00130EE8"/>
    <w:rsid w:val="00181726"/>
    <w:rsid w:val="001D6222"/>
    <w:rsid w:val="00203B71"/>
    <w:rsid w:val="002104DF"/>
    <w:rsid w:val="00225A75"/>
    <w:rsid w:val="0025157D"/>
    <w:rsid w:val="002758AD"/>
    <w:rsid w:val="002F1E27"/>
    <w:rsid w:val="003129A2"/>
    <w:rsid w:val="003222A2"/>
    <w:rsid w:val="00367F15"/>
    <w:rsid w:val="00375943"/>
    <w:rsid w:val="003B05B0"/>
    <w:rsid w:val="003B25AE"/>
    <w:rsid w:val="003B3822"/>
    <w:rsid w:val="003D5727"/>
    <w:rsid w:val="00451366"/>
    <w:rsid w:val="00465B08"/>
    <w:rsid w:val="0047765C"/>
    <w:rsid w:val="004D7B70"/>
    <w:rsid w:val="004E12A5"/>
    <w:rsid w:val="005520AC"/>
    <w:rsid w:val="005B2B91"/>
    <w:rsid w:val="005D2BB6"/>
    <w:rsid w:val="005D5555"/>
    <w:rsid w:val="006341FF"/>
    <w:rsid w:val="00646D4D"/>
    <w:rsid w:val="006A711D"/>
    <w:rsid w:val="006E062A"/>
    <w:rsid w:val="00765C0A"/>
    <w:rsid w:val="007A4E18"/>
    <w:rsid w:val="007F05DB"/>
    <w:rsid w:val="00862106"/>
    <w:rsid w:val="00876247"/>
    <w:rsid w:val="0088161C"/>
    <w:rsid w:val="008A3BFB"/>
    <w:rsid w:val="008F5812"/>
    <w:rsid w:val="00941632"/>
    <w:rsid w:val="00976DB7"/>
    <w:rsid w:val="009811A5"/>
    <w:rsid w:val="00A137E0"/>
    <w:rsid w:val="00A35BC1"/>
    <w:rsid w:val="00A52668"/>
    <w:rsid w:val="00A5439A"/>
    <w:rsid w:val="00A5681D"/>
    <w:rsid w:val="00A821DE"/>
    <w:rsid w:val="00A94AD7"/>
    <w:rsid w:val="00AE3E15"/>
    <w:rsid w:val="00B04A88"/>
    <w:rsid w:val="00B05442"/>
    <w:rsid w:val="00B16B3B"/>
    <w:rsid w:val="00B56484"/>
    <w:rsid w:val="00BC0A86"/>
    <w:rsid w:val="00BE6AA1"/>
    <w:rsid w:val="00C21CF2"/>
    <w:rsid w:val="00C400E9"/>
    <w:rsid w:val="00C4399F"/>
    <w:rsid w:val="00DA3D77"/>
    <w:rsid w:val="00DD4929"/>
    <w:rsid w:val="00DF6782"/>
    <w:rsid w:val="00E24BA5"/>
    <w:rsid w:val="00E44B09"/>
    <w:rsid w:val="00EE7CF8"/>
    <w:rsid w:val="00F0636F"/>
    <w:rsid w:val="00F42604"/>
    <w:rsid w:val="00F76EFC"/>
    <w:rsid w:val="00F852F7"/>
    <w:rsid w:val="00FC0CEE"/>
    <w:rsid w:val="00FF4C69"/>
    <w:rsid w:val="0D79409F"/>
    <w:rsid w:val="58567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microsoft.com/office/2007/relationships/hdphoto" Target="media/image5.wdp"/><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8095B-D5C1-4116-B9A2-7608280F1F27}">
  <ds:schemaRefs/>
</ds:datastoreItem>
</file>

<file path=docProps/app.xml><?xml version="1.0" encoding="utf-8"?>
<Properties xmlns="http://schemas.openxmlformats.org/officeDocument/2006/extended-properties" xmlns:vt="http://schemas.openxmlformats.org/officeDocument/2006/docPropsVTypes">
  <Template>Normal.dotm</Template>
  <Pages>8</Pages>
  <Words>2860</Words>
  <Characters>3109</Characters>
  <Lines>23</Lines>
  <Paragraphs>6</Paragraphs>
  <TotalTime>225</TotalTime>
  <ScaleCrop>false</ScaleCrop>
  <LinksUpToDate>false</LinksUpToDate>
  <CharactersWithSpaces>3144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2024-01-02T00:37:00Z</dcterms:created>
  <dc:creator>abb</dc:creator>
  <cp:lastModifiedBy>杜勇</cp:lastModifiedBy>
  <cp:lastPrinted>2024-10-17T00:46:00Z</cp:lastPrinted>
  <dcterms:modified xsi:type="dcterms:W3CDTF">2026-01-06T02:38:08Z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eyJoZGlkIjoiMzg2YmRjNzFjMjY4Y2FkZmU1YjljNWU5OWM0OWFkYTciLCJ1c2VySWQiOiIxNjg4MzgxMzI1In0=</vt:lpwstr>
  </property>
  <property fmtid="{D5CDD505-2E9C-101B-9397-08002B2CF9AE}" pid="3" name="KSOProductBuildVer">
    <vt:lpwstr>2052-12.1.0.24034</vt:lpwstr>
  </property>
  <property fmtid="{D5CDD505-2E9C-101B-9397-08002B2CF9AE}" pid="4" name="ICV">
    <vt:lpwstr>5BEF1474A5F74C0E8AC58C7298ABF96B_12</vt:lpwstr>
  </property>
</Properties>
</file>