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31211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600" w:lineRule="exact"/>
        <w:ind w:left="0" w:right="0"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</w:p>
    <w:p w14:paraId="1EC335DC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600" w:lineRule="exact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2"/>
          <w:sz w:val="44"/>
          <w:szCs w:val="44"/>
          <w:lang w:val="en-US" w:eastAsia="zh-CN" w:bidi="ar"/>
        </w:rPr>
        <w:t>1.</w:t>
      </w:r>
      <w:r>
        <w:rPr>
          <w:rFonts w:hint="default" w:ascii="方正小标宋简体" w:hAnsi="方正小标宋简体" w:eastAsia="方正小标宋简体" w:cs="方正小标宋简体"/>
          <w:b w:val="0"/>
          <w:bCs w:val="0"/>
          <w:color w:val="000000"/>
          <w:kern w:val="2"/>
          <w:sz w:val="44"/>
          <w:szCs w:val="44"/>
          <w:lang w:val="en-US" w:eastAsia="zh-CN" w:bidi="ar"/>
        </w:rPr>
        <w:t>良种奶牛高效繁育技术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"/>
        </w:rPr>
        <w:t xml:space="preserve"> </w:t>
      </w:r>
    </w:p>
    <w:p w14:paraId="6A967111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600" w:lineRule="exact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 xml:space="preserve"> </w:t>
      </w:r>
    </w:p>
    <w:p w14:paraId="1265F80C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摘要：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针对我国奶牛良种覆盖率低、淘汰率高、种源长期依赖进口等“卡脖子”问题，集成应用了全基因组选择、活体采卵-体外胚胎生产（OPU-IVP）、体细胞克隆（SCNT）及干细胞育种等关键技术，构建了良种奶牛高效繁育技术体系。该技术通过OPU-IVP技术体系，每头供体牛可获得3-4枚可用性控胚胎，移植受胎率稳定在45%。近三年在宁夏、陕西、甘肃的8个规模化牧场推广应用，已生产体外胚胎1.6万余枚，移植受体牛9515头，出生良种后代1267头。同时，建立了超高产奶牛遗传资源库，成功培育克隆奶牛8头，并诞生世界首批干细胞种公牛，实现了育种技术的重大突破。技术推广使牧场良种核心群覆盖率年提升20%以上，显著提升了奶牛单产和生鲜乳品质，推动了由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引进良种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向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自主培育良种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的根本性转变。该技术为我国奶牛种业自主创新、突破国外种源垄断提供了核心支撑，经济、社会及生态效益显著，具备在全国奶牛养殖场推广的可行性。</w:t>
      </w:r>
    </w:p>
    <w:p w14:paraId="15A7DE6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一、技术概述</w:t>
      </w:r>
    </w:p>
    <w:p w14:paraId="75718A46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（一）背景情况</w:t>
      </w:r>
    </w:p>
    <w:p w14:paraId="7F711A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奶业发展，种业先行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，奶牛种业是奶业产业链的源头和支柱，加快推进生物育种技术体系研发与产业化应用，着力提升奶牛种质创新和自主繁育体系建设，既是提升我国奶产业发展优势和核心竞争力、实现奶业全面振兴的必由之路，也是解决我国奶牛种业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卡脖子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问题和实现良种繁育自主可控的关键。近年来，我国多个规模化奶牛养殖场的平均单产已经达到12吨以上，显示出良好的势头，但整体良莠不齐，奶牛良种长期依赖进口，现有奶牛群体中良种覆盖率只有不到20%，迫于养殖效益和饲养管理的压力，奶牛场的自主淘汰率达到30%左右，奶牛的使用寿命显著降低，如何尽快使优良个体扩群、真正实现提质增效，成为制约养殖业效益和持续、快速发展的瓶颈。</w:t>
      </w:r>
    </w:p>
    <w:p w14:paraId="2A144E4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该技术针对目前国内奶牛养殖场良种覆盖率低、淘汰率高、优质种源高度依赖国外、国内优异种质资源利用不足、核心种源自主培育能力不强等关键核心问题，通过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系统地集成了奶牛全基因组选择、活体采卵-体外胚胎生产（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OPU-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IVP）、单精子注射（精子胞浆内注射）、胚胎干细胞制备和动物克隆（SCNT）等技术，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提出良种胚胎工厂化生产应用和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顶级种公牛培育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新路径，全面提升奶牛寿命、产奶量和奶品质，快速补齐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我国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奶业面临的短板，突破国外种源垄断，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为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快速培育适应我国生长环境、高产长寿和抗病性强的良种奶牛核心群和顶级公牛育种群，实现我国奶业振兴、种业自立自强和核心种源自主可控提供技术支撑。</w:t>
      </w:r>
    </w:p>
    <w:p w14:paraId="56913BC4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Chars="200" w:right="0" w:rightChars="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（二）推广应用情况</w:t>
      </w:r>
    </w:p>
    <w:p w14:paraId="05E73C7A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该技术已在宁夏、陕西和甘肃共8个规模化牧场成功推广应用，建立了适应牧场条件、不影响牧场正常繁育程序的高效活体采卵-体外性控胚胎生产-胚胎移植技术体系。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对主动停配期奶牛实施至少4次活体采卵，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每头牛每次采集卵母细胞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30-40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枚，最终可得到可用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性控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胚胎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3-4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枚，受胎率稳定在45%，各项关键技术指标达国际先进水平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。截至目前共生产体外胚胎1.6万余枚，移植受体牛9515头，受胎率稳定在45%左右，已出生良种后代1267头，首批出生的体外胚胎奶牛生长发育良好，已经进入适配期。在全国范围内调研并收集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保存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终生产奶量超百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吨的超高产长寿奶牛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耳缘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成纤维细胞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7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6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份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，初步建成超高产奶牛遗传资源库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。利用SCNT技术成功繁育健康存活、发育良好克隆奶牛8头，实现SCNT技术在良种奶牛培育中担当核心和关键角色的新突破。突破奶牛ICSI瓶颈，生产ICSI体外性控胚胎612枚，受精率达90%，卵裂率达75%，囊胚发育率达到24%，受孕率达48%，已出生38头，均健康存活。集成SCNT、OPU、ICSI、胚胎干细胞技术和全基因组选择技术，团队构建了全新的干细胞育种技术体系，获得世界首批干细胞种公牛5头，全基因组检测其TPI=3129，标志着干细胞育种技术体系成功建立和落地实施，可实现良种奶牛“发现即得到”的目标，为实现我国奶牛种业弯道超车，引领未来国际育种提供新方向。</w:t>
      </w:r>
    </w:p>
    <w:p w14:paraId="6CC0E11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相关成果引起国内外的广泛关注，美国CBS、CNN、USA TODAY、AMERICAN MILLITERINEWS（军事新闻），英国镜报、卫报，以及加拿大、澳大利亚、日本、印度等30多个国外主流媒体进行转载和评论。目前已经培养企业技术团队5个，其中宁夏2个、陕西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2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个和甘肃1个，能够在团队的指导下，自主高效完成活体采卵-体外胚胎生产和胚胎移植的全过程。证实该项技术在规模化养殖场全面实施的可行性。</w:t>
      </w:r>
    </w:p>
    <w:p w14:paraId="7E6EA0D0">
      <w:pPr>
        <w:spacing w:line="360" w:lineRule="auto"/>
        <w:jc w:val="center"/>
        <w:rPr>
          <w:rFonts w:eastAsia="宋体"/>
        </w:rPr>
      </w:pPr>
      <w:r>
        <w:rPr>
          <w:rFonts w:eastAsia="宋体"/>
          <w:lang w:eastAsia="zh-CN" w:bidi="ar-SA"/>
        </w:rPr>
        <w:drawing>
          <wp:inline distT="0" distB="0" distL="114300" distR="114300">
            <wp:extent cx="1994535" cy="1496695"/>
            <wp:effectExtent l="0" t="0" r="5715" b="8255"/>
            <wp:docPr id="1" name="图片 1" descr="技术路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技术路线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lang w:eastAsia="zh-CN" w:bidi="ar-SA"/>
        </w:rPr>
        <w:drawing>
          <wp:inline distT="0" distB="0" distL="114300" distR="114300">
            <wp:extent cx="1981835" cy="1486535"/>
            <wp:effectExtent l="0" t="0" r="18415" b="1841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FD410F">
      <w:pPr>
        <w:pStyle w:val="8"/>
        <w:spacing w:line="240" w:lineRule="auto"/>
        <w:ind w:firstLine="0"/>
        <w:jc w:val="center"/>
        <w:rPr>
          <w:rFonts w:ascii="Times New Roman" w:hAnsi="Times New Roman" w:eastAsia="微软雅黑" w:cs="Times New Roman"/>
          <w:b/>
          <w:bCs/>
          <w:color w:val="333333"/>
          <w:sz w:val="22"/>
          <w:szCs w:val="22"/>
          <w:shd w:val="clear" w:color="auto" w:fill="FFFFFF"/>
          <w:lang w:val="en-US" w:eastAsia="zh-CN" w:bidi="ar"/>
        </w:rPr>
      </w:pPr>
      <w:r>
        <w:rPr>
          <w:rFonts w:ascii="Times New Roman" w:hAnsi="Times New Roman" w:eastAsia="微软雅黑" w:cs="Times New Roman"/>
          <w:b/>
          <w:bCs/>
          <w:color w:val="333333"/>
          <w:sz w:val="22"/>
          <w:szCs w:val="22"/>
          <w:shd w:val="clear" w:color="auto" w:fill="FFFFFF"/>
          <w:lang w:val="en-US" w:eastAsia="zh-CN" w:bidi="ar"/>
        </w:rPr>
        <w:t>活体采卵-体外胚胎生产（OPU-IVP）技术应用</w:t>
      </w:r>
    </w:p>
    <w:p w14:paraId="0EE7EFBC">
      <w:pPr>
        <w:pStyle w:val="8"/>
        <w:spacing w:line="240" w:lineRule="auto"/>
        <w:ind w:firstLine="0"/>
        <w:jc w:val="center"/>
        <w:rPr>
          <w:rFonts w:ascii="Times New Roman" w:hAnsi="Times New Roman" w:eastAsia="微软雅黑" w:cs="Times New Roman"/>
          <w:b/>
          <w:bCs/>
          <w:color w:val="333333"/>
          <w:sz w:val="22"/>
          <w:szCs w:val="22"/>
          <w:shd w:val="clear" w:color="auto" w:fill="FFFFFF"/>
          <w:lang w:val="en-US" w:eastAsia="zh-CN" w:bidi="ar"/>
        </w:rPr>
      </w:pPr>
    </w:p>
    <w:p w14:paraId="22D18E03">
      <w:pPr>
        <w:pStyle w:val="8"/>
        <w:spacing w:line="240" w:lineRule="auto"/>
        <w:ind w:firstLine="0"/>
        <w:jc w:val="center"/>
      </w:pPr>
      <w:r>
        <w:drawing>
          <wp:inline distT="0" distB="0" distL="114300" distR="114300">
            <wp:extent cx="2338070" cy="1346200"/>
            <wp:effectExtent l="0" t="0" r="508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7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7520" cy="1310640"/>
            <wp:effectExtent l="0" t="0" r="50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2D3B5">
      <w:pPr>
        <w:pStyle w:val="8"/>
        <w:spacing w:line="240" w:lineRule="auto"/>
        <w:ind w:firstLine="0"/>
        <w:jc w:val="center"/>
      </w:pPr>
      <w:r>
        <w:rPr>
          <w:rFonts w:hint="eastAsia" w:ascii="Times New Roman" w:hAnsi="Times New Roman" w:eastAsia="微软雅黑" w:cs="Times New Roman"/>
          <w:b/>
          <w:bCs/>
          <w:color w:val="333333"/>
          <w:sz w:val="22"/>
          <w:szCs w:val="22"/>
          <w:shd w:val="clear" w:color="auto" w:fill="FFFFFF"/>
          <w:lang w:val="en-US" w:eastAsia="zh-CN" w:bidi="ar"/>
        </w:rPr>
        <w:t>单精子注射奶牛取得突破</w:t>
      </w:r>
    </w:p>
    <w:p w14:paraId="56AFD28E">
      <w:pPr>
        <w:pStyle w:val="8"/>
        <w:spacing w:line="240" w:lineRule="auto"/>
        <w:ind w:firstLine="0"/>
        <w:jc w:val="both"/>
        <w:rPr>
          <w:rFonts w:ascii="Times New Roman" w:hAnsi="Times New Roman" w:eastAsia="微软雅黑" w:cs="Times New Roman"/>
          <w:b/>
          <w:bCs/>
          <w:color w:val="333333"/>
          <w:sz w:val="22"/>
          <w:szCs w:val="22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1562100" cy="11715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15795" cy="1172845"/>
            <wp:effectExtent l="0" t="0" r="8255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6880" cy="118110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4" t="1000" r="631" b="15702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C32E">
      <w:pPr>
        <w:pStyle w:val="8"/>
        <w:spacing w:line="240" w:lineRule="auto"/>
        <w:ind w:firstLine="0"/>
        <w:jc w:val="center"/>
        <w:rPr>
          <w:rFonts w:ascii="Times New Roman" w:hAnsi="Times New Roman" w:eastAsia="微软雅黑" w:cs="Times New Roman"/>
          <w:b/>
          <w:bCs/>
          <w:color w:val="333333"/>
          <w:sz w:val="22"/>
          <w:szCs w:val="22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333333"/>
          <w:sz w:val="22"/>
          <w:szCs w:val="22"/>
          <w:shd w:val="clear" w:color="auto" w:fill="FFFFFF"/>
          <w:lang w:val="en-US" w:eastAsia="zh-CN" w:bidi="ar"/>
        </w:rPr>
        <w:t>体细胞克隆“超级奶牛”诞生</w:t>
      </w:r>
    </w:p>
    <w:p w14:paraId="72AAA93C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right="0"/>
        <w:jc w:val="center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2207260" cy="1473200"/>
            <wp:effectExtent l="0" t="0" r="0" b="0"/>
            <wp:docPr id="2" name="图片 2" descr="草滩-干细胞克隆犊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草滩-干细胞克隆犊牛"/>
                    <pic:cNvPicPr>
                      <a:picLocks noChangeAspect="1"/>
                    </pic:cNvPicPr>
                  </pic:nvPicPr>
                  <pic:blipFill>
                    <a:blip r:embed="rId11"/>
                    <a:srcRect l="11642" t="9627" b="11729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7B43">
      <w:pPr>
        <w:pStyle w:val="8"/>
        <w:spacing w:line="240" w:lineRule="auto"/>
        <w:ind w:firstLine="0"/>
        <w:jc w:val="center"/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333333"/>
          <w:sz w:val="22"/>
          <w:szCs w:val="22"/>
          <w:shd w:val="clear" w:color="auto" w:fill="FFFFFF"/>
          <w:lang w:val="en-US" w:eastAsia="zh-CN" w:bidi="ar"/>
        </w:rPr>
        <w:t>国际首批干细胞育种后备种公牛</w:t>
      </w:r>
    </w:p>
    <w:p w14:paraId="2CE545B9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right="0" w:rightChars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（三）技术效果</w:t>
      </w:r>
    </w:p>
    <w:p w14:paraId="11F272F8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该技术可快速提升规模养殖场良种奶牛的覆盖率，是解决奶牛养殖土地配套、饲草供给和环保压力难题的有效措施。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该技术的推广可实现良奶牛的快速扩群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使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养殖场良种核心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群覆盖率年提升2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%以上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促进实现奶牛单产和生鲜乳品质的快速突破；对分散在不同区域、养殖场的超高产长寿奶牛实施体细胞克隆，可进一步为高产长寿奶牛良种培育提供优异的种质基础，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大幅度提升我国奶牛良种的自主培育和创新能力，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推进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实现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由引进良种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到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自主培育良种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的转变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；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对于我国奶业和奶牛种业的健康可持续性发展、推动产业振兴、促进乡村振兴都发挥重要作用，具有极大的经济和社会、生态效益。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世界</w:t>
      </w:r>
      <w:r>
        <w:rPr>
          <w:rFonts w:hint="eastAsia" w:ascii="仿宋_GB2312" w:hAnsi="仿宋_GB2312" w:eastAsia="仿宋_GB2312" w:cs="仿宋_GB2312"/>
          <w:sz w:val="32"/>
          <w:szCs w:val="32"/>
        </w:rPr>
        <w:t>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例</w:t>
      </w:r>
      <w:r>
        <w:rPr>
          <w:rFonts w:hint="eastAsia" w:ascii="仿宋_GB2312" w:hAnsi="仿宋_GB2312" w:eastAsia="仿宋_GB2312" w:cs="仿宋_GB2312"/>
          <w:sz w:val="32"/>
          <w:szCs w:val="32"/>
        </w:rPr>
        <w:t>干细胞精准育种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技术培育后备种公牛的出</w:t>
      </w:r>
      <w:r>
        <w:rPr>
          <w:rFonts w:hint="eastAsia" w:ascii="仿宋_GB2312" w:hAnsi="仿宋_GB2312" w:eastAsia="仿宋_GB2312" w:cs="仿宋_GB2312"/>
          <w:sz w:val="32"/>
          <w:szCs w:val="32"/>
        </w:rPr>
        <w:t>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标志着我国在奶牛优异种质资源创制领域实现里程碑式突破，全面革新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传统育种技术体系与产业模式，</w:t>
      </w:r>
      <w:r>
        <w:rPr>
          <w:rFonts w:hint="eastAsia" w:ascii="仿宋_GB2312" w:hAnsi="仿宋_GB2312" w:eastAsia="仿宋_GB2312" w:cs="仿宋_GB2312"/>
          <w:sz w:val="32"/>
          <w:szCs w:val="32"/>
        </w:rPr>
        <w:t>对于快速培育具备自主知识产权的优异种公牛和育种核心母牛群，实现奶牛种业自主自立自强，破解奶牛种质对外依赖具有重大意义。</w:t>
      </w:r>
    </w:p>
    <w:p w14:paraId="085A2F5D">
      <w:pPr>
        <w:keepNext w:val="0"/>
        <w:keepLines w:val="0"/>
        <w:pageBreakBefore w:val="0"/>
        <w:widowControl w:val="0"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Chars="200" w:right="0" w:rightChars="0" w:firstLine="320" w:firstLineChars="1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二、技术要点</w:t>
      </w:r>
    </w:p>
    <w:p w14:paraId="785BF531">
      <w:pPr>
        <w:keepNext w:val="0"/>
        <w:keepLines w:val="0"/>
        <w:pageBreakBefore w:val="0"/>
        <w:widowControl w:val="0"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选择群体中高产长寿、适应性和抗逆性强的优异种质，结合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生产性能分析、线性评定和基因组检测技术，对奶牛群体进行生产性能与遗传性能的基因检测和遗传评估，组建良种奶牛供体群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采用体细胞克隆和活体采卵-体外胚胎生产技术进行快速扩群，构建优异种质核心母牛群；以其为基础，选择与育种目标匹配的公牛精液生产体外胚胎，结合胚胎干细胞和基因组检测等技术，筛选具备优异种质的干细胞株，实施干细胞胚胎制备与移植，培育强适应性、高产长寿的种公牛和育种核心奶牛群。</w:t>
      </w:r>
    </w:p>
    <w:p w14:paraId="37A1AB51">
      <w:pPr>
        <w:keepNext w:val="0"/>
        <w:keepLines w:val="0"/>
        <w:pageBreakBefore w:val="0"/>
        <w:widowControl w:val="0"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适宜区域</w:t>
      </w:r>
    </w:p>
    <w:p w14:paraId="59DC937A">
      <w:pPr>
        <w:keepNext w:val="0"/>
        <w:keepLines w:val="0"/>
        <w:pageBreakBefore w:val="0"/>
        <w:widowControl w:val="0"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Chars="200" w:right="0" w:rightChars="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适用于全国奶牛养殖场。</w:t>
      </w:r>
    </w:p>
    <w:p w14:paraId="3D87D247">
      <w:pPr>
        <w:keepNext w:val="0"/>
        <w:keepLines w:val="0"/>
        <w:pageBreakBefore w:val="0"/>
        <w:widowControl w:val="0"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Chars="200" w:right="0" w:rightChars="0" w:firstLine="320" w:firstLineChars="1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四、注意事项</w:t>
      </w:r>
    </w:p>
    <w:p w14:paraId="2AAF727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在供体牛筛选中，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选择持续参与DHI检测、生产性能记录和繁殖、疾病治疗等记录完整的规模养殖场，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应结合全基因组检测结果充分考虑奶牛实际生产性能，组建适应我国生长环境、高产长寿和抗逆性强的良种奶牛供体群。</w:t>
      </w:r>
    </w:p>
    <w:p w14:paraId="0256ED1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五、技术依托单位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（须列入参与推广的各级国家农业技术推广机构）</w:t>
      </w:r>
    </w:p>
    <w:p w14:paraId="54976AD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/>
        </w:rPr>
        <w:t>（一）西北农林科技大学</w:t>
      </w:r>
    </w:p>
    <w:p w14:paraId="72FBCC0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联系地址：陕西省咸阳市杨凌区</w:t>
      </w:r>
    </w:p>
    <w:p w14:paraId="00A4284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邮政编码：712100</w:t>
      </w:r>
    </w:p>
    <w:p w14:paraId="7E4DB31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联 系 人：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靳亚平、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林鹏飞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、王勇胜</w:t>
      </w:r>
    </w:p>
    <w:p w14:paraId="6084DE42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联系电话：13474069788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13630234460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15353711236</w:t>
      </w:r>
    </w:p>
    <w:p w14:paraId="4BA282F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电子邮箱：linpengfei@nwsuaf.edu.cn</w:t>
      </w:r>
    </w:p>
    <w:p w14:paraId="1D4B5CF7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/>
        </w:rPr>
        <w:t>（二）陕西省畜牧产业试验示范中心</w:t>
      </w:r>
    </w:p>
    <w:p w14:paraId="21E57A1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联系地址：</w:t>
      </w:r>
      <w:r>
        <w:rPr>
          <w:rFonts w:ascii="Arial" w:hAnsi="Arial" w:eastAsia="宋体" w:cs="Arial"/>
          <w:i w:val="0"/>
          <w:iCs w:val="0"/>
          <w:caps w:val="0"/>
          <w:color w:val="771CAA"/>
          <w:spacing w:val="0"/>
          <w:kern w:val="0"/>
          <w:sz w:val="13"/>
          <w:szCs w:val="13"/>
          <w:u w:val="none"/>
          <w:shd w:val="clear" w:color="auto" w:fill="FFFFFF"/>
          <w:lang w:val="en-US" w:eastAsia="zh-CN"/>
        </w:rPr>
        <w:fldChar w:fldCharType="begin"/>
      </w:r>
      <w:r>
        <w:rPr>
          <w:rFonts w:ascii="Arial" w:hAnsi="Arial" w:eastAsia="宋体" w:cs="Arial"/>
          <w:i w:val="0"/>
          <w:iCs w:val="0"/>
          <w:caps w:val="0"/>
          <w:color w:val="771CAA"/>
          <w:spacing w:val="0"/>
          <w:kern w:val="0"/>
          <w:sz w:val="13"/>
          <w:szCs w:val="13"/>
          <w:u w:val="none"/>
          <w:shd w:val="clear" w:color="auto" w:fill="FFFFFF"/>
          <w:lang w:val="en-US" w:eastAsia="zh-CN"/>
        </w:rPr>
        <w:instrText xml:space="preserve"> HYPERLINK "http://www.baidu.com/link?url=8MPuMcEVuWehNSE1pU8eC8LAIFxIXdIP4_ENyxFax8wv98RGVzCxvuzVKC8VaC8cjxT8IMc8kKViYEpYO6BYRdWIsPPr0TLmearzqtO4ccbvDvNkzBe3NU-S-8qWIitdavjSa9qv3cyn4ZulJqUmVreFhKe1QIHhEgz3fVDCgXkvvgek8vb8mIAlRIHVyRIux6HrWl_WtTP1TjdbYARVGIXWssdEzwD7lZRGxu3OSKKTCOAf3v2OvfR9z1u2cC4w-1Xu_OHltqy_M3xX4rxW3TNa-qeDxgwrKZVfCFj97LKGLBBuMfqRNuAdCKk7XIRUvsjX0J8LAMQk5Md-P3B6mcZ0FgTAMHyAbscdOd2QehW" \t "https://www.baidu.com/_blank" </w:instrText>
      </w:r>
      <w:r>
        <w:rPr>
          <w:rFonts w:ascii="Arial" w:hAnsi="Arial" w:eastAsia="宋体" w:cs="Arial"/>
          <w:i w:val="0"/>
          <w:iCs w:val="0"/>
          <w:caps w:val="0"/>
          <w:color w:val="771CAA"/>
          <w:spacing w:val="0"/>
          <w:kern w:val="0"/>
          <w:sz w:val="13"/>
          <w:szCs w:val="13"/>
          <w:u w:val="none"/>
          <w:shd w:val="clear" w:color="auto" w:fill="FFFFFF"/>
          <w:lang w:val="en-US" w:eastAsia="zh-CN"/>
        </w:rPr>
        <w:fldChar w:fldCharType="separate"/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陕西省西安市莲湖区未央路28号</w:t>
      </w:r>
      <w:r>
        <w:rPr>
          <w:rFonts w:hint="default" w:ascii="Arial" w:hAnsi="Arial" w:eastAsia="宋体" w:cs="Arial"/>
          <w:i w:val="0"/>
          <w:iCs w:val="0"/>
          <w:caps w:val="0"/>
          <w:color w:val="771CAA"/>
          <w:spacing w:val="0"/>
          <w:kern w:val="0"/>
          <w:sz w:val="13"/>
          <w:szCs w:val="13"/>
          <w:u w:val="none"/>
          <w:shd w:val="clear" w:color="auto" w:fill="FFFFFF"/>
          <w:lang w:val="en-US" w:eastAsia="zh-CN"/>
        </w:rPr>
        <w:fldChar w:fldCharType="end"/>
      </w:r>
    </w:p>
    <w:p w14:paraId="51FE4A57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邮政编码：71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00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00</w:t>
      </w:r>
    </w:p>
    <w:p w14:paraId="58367DF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联 系 人：刘学通、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贾永宏</w:t>
      </w:r>
    </w:p>
    <w:p w14:paraId="121F7776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联系电话：13032911008、13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991000093</w:t>
      </w:r>
    </w:p>
    <w:p w14:paraId="0525FA53"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 w:firstLine="640" w:firstLineChars="200"/>
        <w:jc w:val="both"/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电子邮箱：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1413943375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@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qq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com</w:t>
      </w:r>
    </w:p>
    <w:p w14:paraId="59B9D57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/>
        </w:rPr>
        <w:t>（三）</w:t>
      </w:r>
      <w:r>
        <w:rPr>
          <w:rFonts w:hint="default" w:ascii="楷体_GB2312" w:hAnsi="楷体_GB2312" w:eastAsia="楷体_GB2312" w:cs="楷体_GB2312"/>
          <w:b w:val="0"/>
          <w:bCs w:val="0"/>
          <w:color w:val="000000"/>
          <w:kern w:val="2"/>
          <w:sz w:val="32"/>
          <w:szCs w:val="32"/>
          <w:lang w:val="en-US" w:eastAsia="zh-CN"/>
        </w:rPr>
        <w:t>宁夏回族自治区畜牧工作站</w:t>
      </w:r>
    </w:p>
    <w:p w14:paraId="39963156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联系地址：银川市金凤区北京中路159号</w:t>
      </w:r>
    </w:p>
    <w:p w14:paraId="2FC8AC78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邮政编码：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750002</w:t>
      </w:r>
    </w:p>
    <w:p w14:paraId="0E3CB7F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联 系 人：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脱征军</w:t>
      </w:r>
    </w:p>
    <w:p w14:paraId="7A41B01C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联系电话：13995180515</w:t>
      </w:r>
    </w:p>
    <w:p w14:paraId="7DBE905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600" w:lineRule="exact"/>
        <w:ind w:left="0" w:right="0" w:firstLine="640" w:firstLineChars="200"/>
        <w:jc w:val="both"/>
        <w:textAlignment w:val="auto"/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电子邮箱：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464223403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@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qq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/>
        </w:rPr>
        <w:t>com</w:t>
      </w:r>
      <w:r>
        <w:br w:type="textWrapping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0F555343-6085-4E8E-97A4-7C22E1163C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EFC79A1-9B38-49AD-83F8-9EA2A23F4B6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67F37CCD-C1A9-4DE4-87BD-C73DAC75187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36B8EEBF-471B-4E0C-81B2-7C69AF771DC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9AA25A47-4E59-4A2A-81D7-83B4B15E4FDA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5C3A07"/>
    <w:multiLevelType w:val="singleLevel"/>
    <w:tmpl w:val="6E5C3A0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F32C1"/>
    <w:rsid w:val="1DF9362A"/>
    <w:rsid w:val="2F0C4D20"/>
    <w:rsid w:val="469043B7"/>
    <w:rsid w:val="580E5A83"/>
    <w:rsid w:val="5FF703D6"/>
    <w:rsid w:val="6009753A"/>
    <w:rsid w:val="65BF6897"/>
    <w:rsid w:val="75A93F8A"/>
    <w:rsid w:val="7B7D4202"/>
    <w:rsid w:val="7E14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rPr>
      <w:kern w:val="2"/>
    </w:rPr>
  </w:style>
  <w:style w:type="paragraph" w:styleId="4">
    <w:name w:val="Normal (Web)"/>
    <w:basedOn w:val="1"/>
    <w:uiPriority w:val="0"/>
    <w:rPr>
      <w:sz w:val="24"/>
    </w:rPr>
  </w:style>
  <w:style w:type="paragraph" w:customStyle="1" w:styleId="7">
    <w:name w:val="Heading #3|1"/>
    <w:basedOn w:val="1"/>
    <w:qFormat/>
    <w:uiPriority w:val="0"/>
    <w:pPr>
      <w:keepNext w:val="0"/>
      <w:keepLines w:val="0"/>
      <w:widowControl w:val="0"/>
      <w:suppressLineNumbers w:val="0"/>
      <w:spacing w:after="490" w:afterAutospacing="0"/>
      <w:jc w:val="center"/>
      <w:outlineLvl w:val="2"/>
    </w:pPr>
    <w:rPr>
      <w:rFonts w:hint="eastAsia" w:ascii="宋体" w:hAnsi="宋体" w:eastAsia="宋体" w:cs="宋体"/>
      <w:kern w:val="2"/>
      <w:sz w:val="34"/>
      <w:szCs w:val="34"/>
      <w:lang w:val="en-US" w:eastAsia="zh-CN" w:bidi="ar"/>
    </w:rPr>
  </w:style>
  <w:style w:type="paragraph" w:customStyle="1" w:styleId="8">
    <w:name w:val="Body text|1"/>
    <w:basedOn w:val="1"/>
    <w:qFormat/>
    <w:uiPriority w:val="0"/>
    <w:pPr>
      <w:spacing w:line="422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2720</Words>
  <Characters>2993</Characters>
  <Lines>0</Lines>
  <Paragraphs>0</Paragraphs>
  <TotalTime>3</TotalTime>
  <ScaleCrop>false</ScaleCrop>
  <LinksUpToDate>false</LinksUpToDate>
  <CharactersWithSpaces>3003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2024-09-29T09:56:00Z</dcterms:created>
  <dc:creator>Lenovo</dc:creator>
  <cp:lastModifiedBy>杜勇</cp:lastModifiedBy>
  <dcterms:modified xsi:type="dcterms:W3CDTF">2026-01-06T06:24:11Z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6220B91B451E479CB4549299F5C14397_12</vt:lpwstr>
  </property>
  <property fmtid="{D5CDD505-2E9C-101B-9397-08002B2CF9AE}" pid="4" name="KSOTemplateDocerSaveRecord">
    <vt:lpwstr>eyJoZGlkIjoiMzg2YmRjNzFjMjY4Y2FkZmU1YjljNWU5OWM0OWFkYTciLCJ1c2VySWQiOiIxNjg4MzgxMzI1In0=</vt:lpwstr>
  </property>
</Properties>
</file>