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74F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C1F23"/>
          <w:spacing w:val="0"/>
          <w:sz w:val="36"/>
          <w:szCs w:val="36"/>
          <w:highlight w:val="none"/>
          <w:shd w:val="clear" w:color="0A0000" w:fill="FFFFFF"/>
          <w:lang w:val="en-US" w:eastAsia="zh-CN"/>
        </w:rPr>
      </w:pPr>
    </w:p>
    <w:p w14:paraId="248D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8.生物质有机营养液提升耕地</w:t>
      </w:r>
    </w:p>
    <w:p w14:paraId="0C69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质量和产能技术</w:t>
      </w:r>
    </w:p>
    <w:p w14:paraId="70156919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摘要：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本技术针对耕地土壤退化、肥力下降、盐碱化及产能下降等突出问题，由铜川市农业科学研究所与西安秦衡生态科技有限公司联合，研发了基于"有机小分子营养"理念的生物质源有机营养液。该技术系列产品（生物质有机营养液、含腐植酸水溶肥及复合微生物肥）2025年荣获中国生态原产地标志保护产品三项权威认证，能有效改良土壤团粒结构，提升有机质含量，降低盐分，优化微生物群落，实现作物增产、显著改善品质并有效增加收益。目前该成熟技术已在全省推广应用，2025年推广面积达10万亩，覆盖粮食、果蔬、中药材等作物，在全国15个省，区累计推广100万亩，荣获省级农业技术推广成果一等奖，成功输出成果已应用至马来西亚、哈萨克斯坦等国际市场，对保障粮食安全、推动农业绿色发展具有重要意义。</w:t>
      </w:r>
    </w:p>
    <w:p w14:paraId="7AFA2668">
      <w:pPr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一、技术概述 </w:t>
      </w:r>
    </w:p>
    <w:p w14:paraId="2E265CB5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（一）基本情况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 </w:t>
      </w:r>
    </w:p>
    <w:p w14:paraId="41CA3957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耕地质量是农业生产的重要基础，其优劣直接影响农作物生长发育与产量形成。然而，长期不合理利用和不当管理，导致耕地普遍面临土壤退化、肥力下降等问题，给农业可持续发展带来压力。实践表明，科学合理的耕地管理措施可显著提升耕地质量、增加农作物产量，为农业可持续发展提供支撑。 </w:t>
      </w:r>
    </w:p>
    <w:p w14:paraId="3E2C999F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近十几年，陕西省铜川市农科所深入探索耕地质量提升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的方法，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提出“有机小分子营养是植物营养核心”理念：土壤中的有机小分子能将大、中、微量元素离子螯合成有机小分子态，加速植物吸收，同时改良土壤有益微生物含量，提升土壤质量。但土壤中大分子有机碳分解为小分子有机碳的过程十分缓慢，这也是休耕熟化的原因之一。 通过研发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的有机营养液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（基于农业生物质绿色高效活化技术生产），可有效降低土壤pH值、速效钾和含盐量（含盐量降幅达29%）；增加全氮、有效磷和土壤有机质含量（有机质含量较施用前提升40%），极大改善土壤理化性质与养分状况，增产提质效果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具有开创性意义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。该技术为国内首创，有力保障了粮食生产和重要农产品稳定供给。 </w:t>
      </w:r>
    </w:p>
    <w:p w14:paraId="72F4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（二）技术要点</w:t>
      </w:r>
    </w:p>
    <w:p w14:paraId="62C82FEE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1. 核心技术：</w:t>
      </w:r>
    </w:p>
    <w:p w14:paraId="1DFEB2D6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 有机营养液技术指标：总养分（N+P₂O₅+K₂O）≥60g/L，黄腐酸含量≥150g/L</w:t>
      </w:r>
    </w:p>
    <w:p w14:paraId="66A9AF7E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适用土壤类型：退化耕地、盐碱地、设施农业土壤、占补平衡土地等</w:t>
      </w:r>
    </w:p>
    <w:p w14:paraId="6180B874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应用方式：喷洒翻压、滴灌施肥、兑水浇灌、叶面喷施</w:t>
      </w:r>
    </w:p>
    <w:p w14:paraId="190FE7E7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 施用原则：耕种前尽早施入，一次足量施入</w:t>
      </w:r>
    </w:p>
    <w:p w14:paraId="0BA06F90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2. 配套技术：</w:t>
      </w:r>
    </w:p>
    <w:p w14:paraId="48177D55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秸秆还田技术；增施有机肥技术；病虫害绿色防控技术</w:t>
      </w:r>
    </w:p>
    <w:p w14:paraId="4E11327A"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A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盐碱地"平田整地+淡水压盐+深翻追肥"综合改良技术。</w:t>
      </w:r>
    </w:p>
    <w:p w14:paraId="3DA13BC5">
      <w:pPr>
        <w:numPr>
          <w:ilvl w:val="0"/>
          <w:numId w:val="1"/>
        </w:numPr>
        <w:ind w:left="-13" w:leftChars="0" w:firstLine="643" w:firstLineChars="0"/>
        <w:jc w:val="left"/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试验示范推广</w:t>
      </w:r>
      <w:r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情况</w:t>
      </w:r>
    </w:p>
    <w:p w14:paraId="5090C63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近年来，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在多地高标准农田建设及特色产业基地中广泛应用： </w:t>
      </w:r>
    </w:p>
    <w:p w14:paraId="0B47C252">
      <w:pPr>
        <w:numPr>
          <w:ilvl w:val="0"/>
          <w:numId w:val="2"/>
        </w:numPr>
        <w:ind w:left="630" w:leftChars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高标准农田建设项目应用 </w:t>
      </w:r>
    </w:p>
    <w:p w14:paraId="143FA15F">
      <w:pPr>
        <w:numPr>
          <w:ilvl w:val="0"/>
          <w:numId w:val="3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铜川市耀州区高标准农田项目：参与2023年铜川市耀州区3.5万亩高标准农田建设项目（二次），通过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技术改良耕地质量，助力项目区域耕地理化性状与产能同步优化（经公开招标，技术服务覆盖项目核心区域，推动耕地质量等级提升）。 </w:t>
      </w:r>
    </w:p>
    <w:p w14:paraId="71E64AE4">
      <w:pPr>
        <w:numPr>
          <w:ilvl w:val="0"/>
          <w:numId w:val="3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靖边县高标准农田项目：参与中铁二十局集团市政工程有限公司靖边2024年5.41万亩高标准农田建设项目，针对项目区耕地开展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的施用与耕地理化性状改良工作，为项目区粮食产能提升提供技术支撑（技术服务涵盖液体有机肥类物资应用，与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技术体系协同，改善耕地质量）。</w:t>
      </w:r>
    </w:p>
    <w:p w14:paraId="527BFD13">
      <w:pPr>
        <w:pStyle w:val="5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蒲城盐碱地改良项目。2025年，该技术中标蒲城县卤阳湖2万亩盐碱地改良项目。</w:t>
      </w:r>
    </w:p>
    <w:p w14:paraId="269B2A9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特色产业示范基地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在铜川建立了绿色苹果、大樱桃、桃、蔬菜、中药材的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耕地质量提升技术示范基地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。</w:t>
      </w:r>
    </w:p>
    <w:p w14:paraId="516AFEC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（1）绿色苹果示范基地：涵盖王益区益民利农实业股份有限公司、铜川市印台珠峰现代农牧业发展公司等9个基地，总计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5100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亩。 </w:t>
      </w:r>
    </w:p>
    <w:p w14:paraId="7C2E822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（2）绿色大樱桃示范基地：印台津樱果业有限公司、铜川市怡品农业科技有限责任公司等4个基地，总计830亩。 </w:t>
      </w:r>
    </w:p>
    <w:p w14:paraId="1D4FE1A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（3）绿色桃示范基地：涉及王益区孟农果业公司、王益区新兴果业专业合作社等2个基地，总计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00亩。 </w:t>
      </w:r>
    </w:p>
    <w:p w14:paraId="2C339EA5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（4）绿色蔬菜示范基地：包含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位于耀州区的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陕西致农琢鲜供应链有限公司“甜小包”三色小番茄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种植基地，秦创原铜川市农业科技创新融合示范园。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陕西诚达生态农业科技有限公司大棚蔬菜基地、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印台区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绿保蔬菜专业合作社大棚蔬菜等个基地，总计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亩。</w:t>
      </w:r>
    </w:p>
    <w:p w14:paraId="22B451E9">
      <w:pPr>
        <w:numPr>
          <w:ilvl w:val="0"/>
          <w:numId w:val="0"/>
        </w:numPr>
        <w:ind w:firstLine="640" w:firstLineChars="200"/>
        <w:jc w:val="left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绿色中药材示范基地：涵盖铜川锐沣盛沃农业发展有限公司、陕西丰秦塬农业科技有限公司等3个基地，总计1700亩。 </w:t>
      </w:r>
    </w:p>
    <w:p w14:paraId="56B20253">
      <w:pPr>
        <w:numPr>
          <w:ilvl w:val="0"/>
          <w:numId w:val="1"/>
        </w:numPr>
        <w:ind w:left="-13" w:leftChars="0" w:firstLine="643" w:firstLineChars="0"/>
        <w:jc w:val="left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技术效果</w:t>
      </w:r>
    </w:p>
    <w:p w14:paraId="753C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土壤有机质与养分库容显著提升</w:t>
      </w:r>
    </w:p>
    <w:p w14:paraId="4AFD117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应用后，0-20cm耕作层土壤有机质含量平均达到27.33 g/kg，较对照区（未施用）增幅高达93.14%；20-40cm土层有机质含量也提升了25.08%，有效扩大了土壤碳库。</w:t>
      </w:r>
    </w:p>
    <w:p w14:paraId="716E1F3E">
      <w:pPr>
        <w:numPr>
          <w:ilvl w:val="0"/>
          <w:numId w:val="4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氮磷钾养分：</w:t>
      </w:r>
    </w:p>
    <w:p w14:paraId="4CAB7FC0">
      <w:pPr>
        <w:numPr>
          <w:ilvl w:val="0"/>
          <w:numId w:val="0"/>
        </w:num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与对照区相比，0-20cm土层中全氮含量提升51.51%，达1.5 g/kg；有效磷含量提升55.15%，达20.17 mg/kg；速效钾含量大幅提升83.25%，达383 mg/kg，土壤供肥能力显著增强。</w:t>
      </w:r>
    </w:p>
    <w:p w14:paraId="291B3E9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（2）盐碱化土壤得到高效修复</w:t>
      </w:r>
    </w:p>
    <w:p w14:paraId="2D5F00E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在吉林大安、榆林靖边等盐碱地应用后，土壤盐分离子总量下降68.21%，其中阳离子总量降幅75.52%，阴离子总量降幅60.48%。土壤导电率显著降低，为作物根系创造了良好的生长环境。</w:t>
      </w:r>
    </w:p>
    <w:p w14:paraId="339D308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西宁市温室试验点（中度盐碱）的土壤钙离子含量下降35.69%，有效缓解了盐分对作物的胁迫。</w:t>
      </w:r>
    </w:p>
    <w:p w14:paraId="1CDC0DE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（3）土壤pH值与结构优化</w:t>
      </w:r>
    </w:p>
    <w:p w14:paraId="29F2C13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技术能有效降低土壤pH值，缓解碱性土壤的负面影响，同时促进土壤团粒结构形成，增强保水保肥能力。</w:t>
      </w:r>
    </w:p>
    <w:p w14:paraId="30B0E759">
      <w:pPr>
        <w:spacing w:line="360" w:lineRule="auto"/>
        <w:jc w:val="center"/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 w:eastAsia="宋体" w:cs="黑体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object>
          <v:shape id="_x0000_i1025" o:spt="75" type="#_x0000_t75" style="height:216pt;width:311.55pt;" o:ole="t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5" DrawAspect="Content" ObjectID="_1468075725" r:id="rId4">
            <o:LockedField>false</o:LockedField>
          </o:OLEObject>
        </w:object>
      </w:r>
    </w:p>
    <w:p w14:paraId="597CFCEC">
      <w:pPr>
        <w:pStyle w:val="5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Cs w:val="21"/>
          <w:highlight w:val="none"/>
        </w:rPr>
        <w:t>图</w:t>
      </w:r>
      <w:r>
        <w:rPr>
          <w:rFonts w:hint="eastAsia" w:ascii="黑体" w:hAnsi="黑体" w:eastAsia="黑体" w:cs="黑体"/>
          <w:b w:val="0"/>
          <w:bCs w:val="0"/>
          <w:szCs w:val="2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Cs w:val="21"/>
          <w:highlight w:val="none"/>
        </w:rPr>
        <w:t>：不同</w:t>
      </w:r>
      <w:r>
        <w:rPr>
          <w:rFonts w:hint="eastAsia" w:ascii="黑体" w:hAnsi="黑体" w:eastAsia="黑体" w:cs="黑体"/>
          <w:b w:val="0"/>
          <w:bCs w:val="0"/>
          <w:szCs w:val="21"/>
          <w:highlight w:val="none"/>
          <w:lang w:eastAsia="zh-CN"/>
        </w:rPr>
        <w:t>生物质有机营养液提升耕地质量和产能技术</w:t>
      </w:r>
      <w:r>
        <w:rPr>
          <w:rFonts w:hint="eastAsia" w:ascii="黑体" w:hAnsi="黑体" w:eastAsia="黑体" w:cs="黑体"/>
          <w:b w:val="0"/>
          <w:bCs w:val="0"/>
          <w:szCs w:val="21"/>
          <w:highlight w:val="none"/>
        </w:rPr>
        <w:t>施用量对土壤有机碳的影响</w:t>
      </w:r>
    </w:p>
    <w:p w14:paraId="29272F7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P1、P2处理的SOC含量随着培养时间无显著差异，P3在培养第60天显著增加；在培养第60天，与CK和F相比，P1、P2、 P3的SOC均显著增加。</w:t>
      </w:r>
    </w:p>
    <w:p w14:paraId="7A32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2.土壤生态系统健康度显著改善</w:t>
      </w:r>
    </w:p>
    <w:p w14:paraId="6A4F1E5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（1）有益微生物群落结构与功能增强</w:t>
      </w:r>
    </w:p>
    <w:p w14:paraId="48D84A5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定向富集有益菌：施用100-200天后，土壤中的有益菌——亚硝化螺菌属（参与氮循环）相对丰度最高增加804%；生防菌——溶杆菌属相对丰度增加276%，有效抑制土传病害。</w:t>
      </w:r>
    </w:p>
    <w:p w14:paraId="3997E0C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抑制病原菌：有害病原菌镰刀菌属的丰度显著降低69%，减轻了作物病害发生风险。</w:t>
      </w:r>
    </w:p>
    <w:p w14:paraId="16833EFD">
      <w:pPr>
        <w:numPr>
          <w:ilvl w:val="0"/>
          <w:numId w:val="0"/>
        </w:num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2）微生物残体碳库稳定增加，固碳能力提升，培养第60天，土壤微生物总残体最高增加32.23%，其中细菌残体碳最高增加42.00%，真菌残体碳最高增加19.67%。表明技术不仅促进了微生物活性，更通过稳定微生物残体的形式，实现了土壤碳的长期封存，增强了土壤固碳能力。</w:t>
      </w:r>
    </w:p>
    <w:p w14:paraId="5539F46D">
      <w:pPr>
        <w:spacing w:line="360" w:lineRule="auto"/>
        <w:jc w:val="both"/>
        <w:rPr>
          <w:rFonts w:asci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Calibri" w:eastAsia="仿宋" w:cs="黑体"/>
          <w:color w:val="000000"/>
          <w:kern w:val="2"/>
          <w:sz w:val="32"/>
          <w:szCs w:val="32"/>
          <w:highlight w:val="none"/>
          <w:lang w:val="en-US" w:eastAsia="zh-CN" w:bidi="ar-SA"/>
        </w:rPr>
        <w:object>
          <v:shape id="_x0000_i1026" o:spt="75" type="#_x0000_t75" style="height:214.1pt;width:386.45pt;" o:ole="t" fillcolor="#FFFFFF" filled="f" o:preferrelative="t" stroked="f" coordsize="21600,21600">
            <v:path/>
            <v:fill on="f" color2="#FFFFFF" focussize="0,0"/>
            <v:stroke on="f"/>
            <v:imagedata r:id="rId7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6" DrawAspect="Content" ObjectID="_1468075726" r:id="rId6">
            <o:LockedField>false</o:LockedField>
          </o:OLEObject>
        </w:object>
      </w:r>
    </w:p>
    <w:p w14:paraId="34932923">
      <w:pPr>
        <w:pStyle w:val="5"/>
        <w:ind w:left="420" w:hanging="420" w:hangingChars="200"/>
        <w:jc w:val="left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图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Cs w:val="21"/>
          <w:highlight w:val="none"/>
        </w:rPr>
        <w:t>：不同</w:t>
      </w:r>
      <w:r>
        <w:rPr>
          <w:rFonts w:hint="eastAsia" w:ascii="黑体" w:hAnsi="黑体" w:eastAsia="黑体" w:cs="黑体"/>
          <w:szCs w:val="21"/>
          <w:highlight w:val="none"/>
          <w:lang w:eastAsia="zh-CN"/>
        </w:rPr>
        <w:t>生物质有机营养液提升耕地质量和产能技术</w:t>
      </w:r>
      <w:r>
        <w:rPr>
          <w:rFonts w:hint="eastAsia" w:ascii="黑体" w:hAnsi="黑体" w:eastAsia="黑体" w:cs="黑体"/>
          <w:szCs w:val="21"/>
          <w:highlight w:val="none"/>
        </w:rPr>
        <w:t>施用量对土壤微生物总残体的影响</w:t>
      </w:r>
    </w:p>
    <w:p w14:paraId="26849685">
      <w:pPr>
        <w:pStyle w:val="5"/>
        <w:ind w:firstLine="420"/>
        <w:rPr>
          <w:highlight w:val="none"/>
        </w:rPr>
      </w:pPr>
    </w:p>
    <w:p w14:paraId="2FFAFE9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AS：总氨基糖；GluN：氨基葡萄糖；GlaN：氨基半乳糖；MurA：细胞壁酸</w:t>
      </w:r>
    </w:p>
    <w:p w14:paraId="72A5F93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P1、P2、P3的微生物总残体（AS）呈现先增加后下降的趋势，在培养第60天达到峰值，与第5天相比显著增加，分别增加32.23%、15.22%和11.02%；在培养第30、60和105天，AS随富活素施用量增加而下降，即P1&gt;P2&gt;P3（p&lt;0.05）；在培养第60天，与CK相比，P1中AS显著增加了22.36%。细菌残体（细胞壁酸MurA）和真菌残体（氨基葡萄糖GluN）呈类似趋势。</w:t>
      </w:r>
    </w:p>
    <w:p w14:paraId="39063FC8">
      <w:pPr>
        <w:spacing w:line="360" w:lineRule="auto"/>
        <w:jc w:val="center"/>
        <w:rPr>
          <w:rFonts w:asci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Calibri" w:eastAsia="仿宋" w:cs="黑体"/>
          <w:color w:val="000000"/>
          <w:kern w:val="2"/>
          <w:sz w:val="32"/>
          <w:szCs w:val="32"/>
          <w:highlight w:val="none"/>
          <w:lang w:val="en-US" w:eastAsia="zh-CN" w:bidi="ar-SA"/>
        </w:rPr>
        <w:object>
          <v:shape id="_x0000_i1027" o:spt="75" type="#_x0000_t75" style="height:151.05pt;width:192.15pt;" o:ole="t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Calibri" w:eastAsia="仿宋" w:cs="黑体"/>
          <w:color w:val="000000"/>
          <w:kern w:val="2"/>
          <w:sz w:val="32"/>
          <w:szCs w:val="32"/>
          <w:highlight w:val="none"/>
          <w:lang w:val="en-US" w:eastAsia="zh-CN" w:bidi="ar-SA"/>
        </w:rPr>
        <w:object>
          <v:shape id="_x0000_i1028" o:spt="75" type="#_x0000_t75" style="height:151.5pt;width:194.8pt;" o:ole="t" fillcolor="#FFFFFF" filled="f" o:preferrelative="t" stroked="f" coordsize="21600,21600">
            <v:path/>
            <v:fill on="f" color2="#FFFFFF" focussize="0,0"/>
            <v:stroke on="f"/>
            <v:imagedata r:id="rId11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8" DrawAspect="Content" ObjectID="_1468075728" r:id="rId10">
            <o:LockedField>false</o:LockedField>
          </o:OLEObject>
        </w:object>
      </w:r>
    </w:p>
    <w:p w14:paraId="70551DF4">
      <w:pPr>
        <w:pStyle w:val="5"/>
        <w:ind w:firstLine="0" w:firstLineChars="0"/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图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Cs w:val="21"/>
          <w:highlight w:val="none"/>
        </w:rPr>
        <w:t>：不同</w:t>
      </w:r>
      <w:r>
        <w:rPr>
          <w:rFonts w:hint="eastAsia" w:ascii="黑体" w:hAnsi="黑体" w:eastAsia="黑体" w:cs="黑体"/>
          <w:szCs w:val="21"/>
          <w:highlight w:val="none"/>
          <w:lang w:eastAsia="zh-CN"/>
        </w:rPr>
        <w:t>生物质有机营养液提升耕地质量和产能技术</w:t>
      </w:r>
      <w:r>
        <w:rPr>
          <w:rFonts w:hint="eastAsia" w:ascii="黑体" w:hAnsi="黑体" w:eastAsia="黑体" w:cs="黑体"/>
          <w:szCs w:val="21"/>
          <w:highlight w:val="none"/>
        </w:rPr>
        <w:t>施用量对土壤细菌和真菌残体碳的影响</w:t>
      </w:r>
    </w:p>
    <w:p w14:paraId="6F4C3AD3">
      <w:pPr>
        <w:pStyle w:val="5"/>
        <w:ind w:firstLine="420"/>
        <w:rPr>
          <w:highlight w:val="none"/>
        </w:rPr>
      </w:pPr>
    </w:p>
    <w:p w14:paraId="0C25788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P2、P3的细菌残体碳在培养第30天最高，P1中细菌残体碳在培养第60天最高，在最高时与CK相比P1、P2、P3显著增加，分别增加了11.47%、28.97%和42.00%。</w:t>
      </w:r>
    </w:p>
    <w:p w14:paraId="0BFA830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P1、P2的真菌残体碳在培养第30天最高，与CK相比显著增加，分别增加了19.67%和15.49%。</w:t>
      </w:r>
    </w:p>
    <w:p w14:paraId="47D81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3.作物增产提质效果极其显著</w:t>
      </w:r>
    </w:p>
    <w:p w14:paraId="4316CB2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（1）大田作物产量实现突破</w:t>
      </w:r>
    </w:p>
    <w:p w14:paraId="3ADC3913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玉米：2024年在榆林靖边盐碱地，亩产836.88公斤，较对照田（623公斤）增产213.88公斤，相较于当地往年平均产量（400-600公斤），增幅高达34.3%至 53.5%。</w:t>
      </w:r>
    </w:p>
    <w:p w14:paraId="2894823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水稻：2023年，在吉林大安盐碱地，亩产727.3公斤，较对照组（400公斤）增产327.3公斤，增产率高达81.83%，实现了盐碱地水稻产量的倍增。</w:t>
      </w:r>
    </w:p>
    <w:p w14:paraId="09DA98C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（2）经济作物产量与品质同步提升</w:t>
      </w:r>
    </w:p>
    <w:p w14:paraId="29AA702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蔬菜：2024年铜川市试验表明，生菜单株鲜重增加37.58%，其中地上部鲜重增37.17%，根鲜重增39.80%，叶面积扩大22.98%，商品性显著改善。</w:t>
      </w:r>
    </w:p>
    <w:p w14:paraId="092501C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果树：在苹果、樱桃等果园的示范应用，表现出叶片增厚、叶绿素含量提升、果实着色均匀、糖度增加等综合品质改善效果。果实优果率提升5%以上，亩增收500元以上。</w:t>
      </w:r>
    </w:p>
    <w:p w14:paraId="534A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4.耕地质量等级与可持续生产能力稳步提升</w:t>
      </w:r>
    </w:p>
    <w:p w14:paraId="1F439AF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（1）耕地质量等级实现跃升</w:t>
      </w:r>
    </w:p>
    <w:p w14:paraId="29812F4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在铜川市域，推动耕地质量平均等级从2023年的6.99等提升至2024年的6.98等。</w:t>
      </w:r>
    </w:p>
    <w:p w14:paraId="33E832E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在铜川耀州区石柱镇高标准农田核心区，通过综合改良，耕地平均等别相较于2019年基础数据提升了1.7等；若仅考虑有机质含量变化，也提升了0.3等。这充分证明了该技术对耕地质量快速提升的强劲驱动力。</w:t>
      </w:r>
    </w:p>
    <w:p w14:paraId="1317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5.生态与经济效益双赢</w:t>
      </w:r>
    </w:p>
    <w:p w14:paraId="75CB76E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（1）生态效益：通过提升土壤自身肥力，减少了农业生产对化学肥料的依赖，为农业面源污染减排做出了贡献。同时，土壤固碳能力的增强，直接服务于国家“双碳”目标。</w:t>
      </w:r>
    </w:p>
    <w:p w14:paraId="2468F87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（2）经济效益：作物产量的显著提高和品质的改善，直接增加了农户收入。此外，该技术“当年改良，当年见效”，效果持久不易复发，为农民提供了高回报、低风险的投入选择，推广效益巨大。</w:t>
      </w:r>
    </w:p>
    <w:p w14:paraId="64C7199F">
      <w:pPr>
        <w:spacing w:line="360" w:lineRule="auto"/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本技术通过“改良土壤-优化微生态-滋养作物”的系统性作用，实现了耕地内在质量和外部产能的协同飞跃，是一项经实践验证、效益显著、潜力巨大的农业引领性技术。</w:t>
      </w:r>
    </w:p>
    <w:p w14:paraId="2C8F4236">
      <w:pPr>
        <w:numPr>
          <w:ilvl w:val="0"/>
          <w:numId w:val="0"/>
        </w:numPr>
        <w:ind w:firstLine="320" w:firstLineChars="100"/>
        <w:jc w:val="left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（五）推广潜力</w:t>
      </w:r>
    </w:p>
    <w:p w14:paraId="5061418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依托的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“农业生物质绿色高效活化关键技术（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有机营养液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方向）”荣获2023年度陕西省农业技术推广成果奖一等奖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 xml:space="preserve"> 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生物质为原料生产的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黄腐酸、腐殖酸系列肥料产品获得了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 "中国生态原产地肥料产品"品牌认证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eastAsia="zh-CN"/>
        </w:rPr>
        <w:t>。</w:t>
      </w:r>
    </w:p>
    <w:p w14:paraId="3E72D40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该技术具备大规模、跨区域推广的巨大潜力，其推广价值体现在应用范围的广泛性、效益驱动的显著性、技术体系的成熟。</w:t>
      </w:r>
    </w:p>
    <w:p w14:paraId="4DF66AB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1.该技术具有普适性，能够系统解决我国耕地面临的核心问题</w:t>
      </w:r>
    </w:p>
    <w:p w14:paraId="040006A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在中低产田改良方面，可快速提升土壤有机质含量，改善板结问题；在盐碱地治理领域，通过生物化学协同作用，实现当年改良、当年见效，已在吉林、陕西等地验证成效；针对设施农业的连作障碍和次生盐渍化问题，能够有效修复土壤微生态环境。此外，该技术完全符合高标准农田建设和耕地占补平衡的政策需求，为新增耕地地力培育提供了可靠技术支撑。</w:t>
      </w:r>
    </w:p>
    <w:p w14:paraId="511CA5A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2.经济效益显著，驱动作用强劲</w:t>
      </w:r>
    </w:p>
    <w:p w14:paraId="58B721E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该技术在实践中展现出卓越的增产增效能力。大田作物应用数据显示，水稻亩产增幅达81.83%，玉米亩增产213.88公斤，苹果优果率提升5%以上，亩增收500元以上，中药材品质显著提升，经济效益可观。同时，该技术可实现化肥减量约15%，在降低农业生产成本的同时，减轻了面源污染压力。显著的投入产出比和直观的增收效果，为技术推广提供了强大的内生动力。</w:t>
      </w:r>
    </w:p>
    <w:p w14:paraId="27F13EC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3.技术体系成熟，推广基础扎实</w:t>
      </w:r>
    </w:p>
    <w:p w14:paraId="21FD4C9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经过多年系统研发与大规模实践应用，该项技术已形成一套成熟完整的技术标准体系，涵盖明确的产品质量指标、规范化的施用操作规程以及完善的配套管理措施。截至目前，该技术已在全国15个省区成功推广示范面积达100万亩，构建了覆盖高标准农田、盐碱地等多种土地类型，以及从粮食作物到经济作物的多样化成功应用案例。技术成果先后荣获省级奖励，并通过生态产品认证，已成功输出至马来西亚棕榈种植业、哈萨克斯坦农业开发等国际市场，形成了广泛的行业公信力与社会认可度，为推动我国及国际农业绿色循环发展提供了可靠的技术支撑。</w:t>
      </w:r>
    </w:p>
    <w:p w14:paraId="686B152C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4.契合国家战略，发展前景广阔</w:t>
      </w:r>
    </w:p>
    <w:p w14:paraId="4795D61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该技术深度契合国家粮食安全、耕地保护和农业绿色发展的战略需求。通过提升中低产田产能、开发利用盐碱地资源，为保障粮食安全开辟了新路径。技术的绿色属性与化肥农药减量增效、净土工程及“双碳”目标高度一致，代表了农业新质生产力的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展方向。</w:t>
      </w:r>
    </w:p>
    <w:p w14:paraId="64C62BD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该技术兼具科学性、实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用性和前瞻性，将对我国耕地质量提升和农业可持续发展产生重要推动作用。</w:t>
      </w:r>
    </w:p>
    <w:p w14:paraId="153058C1">
      <w:pPr>
        <w:pStyle w:val="6"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 xml:space="preserve"> 二、技术依托单位 </w:t>
      </w:r>
    </w:p>
    <w:p w14:paraId="3FBC98F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1.铜川市农业科学研究所</w:t>
      </w:r>
    </w:p>
    <w:p w14:paraId="7B02B2F3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联系地址：铜川市新区大唐三路产业研究院6号楼 </w:t>
      </w:r>
    </w:p>
    <w:p w14:paraId="4560C29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邮政编码：727100 </w:t>
      </w:r>
    </w:p>
    <w:p w14:paraId="072635D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联系人：张亚建 </w:t>
      </w:r>
    </w:p>
    <w:p w14:paraId="27F9C11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联系电话：13909195351 </w:t>
      </w:r>
    </w:p>
    <w:p w14:paraId="16C6DCD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2.陕西省耕地质量与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农业环境保护工作站</w:t>
      </w:r>
    </w:p>
    <w:p w14:paraId="0204080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联系地址：陕西省西安市莲湖区习武园27号</w:t>
      </w:r>
    </w:p>
    <w:p w14:paraId="755FCC9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邮政编码：710000</w:t>
      </w:r>
    </w:p>
    <w:p w14:paraId="3462B2D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联 系 人：王晨光  </w:t>
      </w:r>
    </w:p>
    <w:p w14:paraId="73ED21C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联系电话：13488460620</w:t>
      </w:r>
    </w:p>
    <w:p w14:paraId="79D7E85D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3.西安秦衡生态科技有限公司</w:t>
      </w:r>
    </w:p>
    <w:p w14:paraId="6D21BCA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联系地址：陕西省西安市高新区高新一路万科金域国际A座14层1410室</w:t>
      </w:r>
    </w:p>
    <w:p w14:paraId="00A882B7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邮政编码：710075</w:t>
      </w:r>
    </w:p>
    <w:p w14:paraId="4A76CCF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王奕超</w:t>
      </w:r>
    </w:p>
    <w:p w14:paraId="70A6370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color="09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13186151300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F6758"/>
    <w:multiLevelType w:val="singleLevel"/>
    <w:tmpl w:val="856F6758"/>
    <w:lvl w:ilvl="0" w:tentative="0">
      <w:start w:val="1"/>
      <w:numFmt w:val="decimal"/>
      <w:suff w:val="space"/>
      <w:lvlText w:val="%1."/>
      <w:lvlJc w:val="left"/>
      <w:pPr>
        <w:ind w:left="630" w:leftChars="0" w:firstLine="0" w:firstLineChars="0"/>
      </w:pPr>
    </w:lvl>
  </w:abstractNum>
  <w:abstractNum w:abstractNumId="1">
    <w:nsid w:val="9D88D766"/>
    <w:multiLevelType w:val="singleLevel"/>
    <w:tmpl w:val="9D88D76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78C83D5"/>
    <w:multiLevelType w:val="singleLevel"/>
    <w:tmpl w:val="278C83D5"/>
    <w:lvl w:ilvl="0" w:tentative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3">
    <w:nsid w:val="36F46D97"/>
    <w:multiLevelType w:val="singleLevel"/>
    <w:tmpl w:val="36F46D9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6E74"/>
    <w:rsid w:val="05706015"/>
    <w:rsid w:val="6E6E2FB9"/>
    <w:rsid w:val="7EF41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880" w:firstLineChars="200"/>
    </w:pPr>
    <w:rPr>
      <w:rFonts w:ascii="Times New Roman" w:hAnsi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4513</Words>
  <Characters>4979</Characters>
  <Lines>0</Lines>
  <Paragraphs>0</Paragraphs>
  <TotalTime>24</TotalTime>
  <ScaleCrop>false</ScaleCrop>
  <LinksUpToDate>false</LinksUpToDate>
  <CharactersWithSpaces>5014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2025-10-13T14:21:00Z</dcterms:created>
  <dc:creator>水深不语</dc:creator>
  <cp:lastModifiedBy>杜勇</cp:lastModifiedBy>
  <cp:lastPrinted>2025-10-24T00:45:00Z</cp:lastPrinted>
  <dcterms:modified xsi:type="dcterms:W3CDTF">2026-01-08T02:02:46Z</dcterms:modified>
  <dc:title>生物质有机营养液提升耕地质量和产能主推技术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718AAD58AF58410882F50E6B7DBB2936_13</vt:lpwstr>
  </property>
  <property fmtid="{D5CDD505-2E9C-101B-9397-08002B2CF9AE}" pid="4" name="KSOTemplateDocerSaveRecord">
    <vt:lpwstr>eyJoZGlkIjoiM2ZiMGJlZDY3OTIyM2NmYjJhN2MzYTE3ZWQ3NjU0NzQiLCJ1c2VySWQiOiIxNjg4MzgxMzI1In0=</vt:lpwstr>
  </property>
</Properties>
</file>