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4A6C3">
      <w:pPr>
        <w:spacing w:line="600" w:lineRule="exact"/>
        <w:jc w:val="center"/>
        <w:rPr>
          <w:rFonts w:hint="default" w:ascii="Times New Roman" w:hAnsi="Times New Roman" w:eastAsia="华文中宋" w:cs="Times New Roman"/>
          <w:b w:val="0"/>
          <w:bCs/>
          <w:sz w:val="36"/>
          <w:szCs w:val="36"/>
          <w:lang w:eastAsia="zh-CN"/>
        </w:rPr>
      </w:pPr>
    </w:p>
    <w:p w14:paraId="6958CB1A">
      <w:pPr>
        <w:spacing w:line="60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1" w:name="_GoBack"/>
      <w:r>
        <w:rPr>
          <w:rFonts w:hint="eastAsia" w:ascii="方正小标宋简体" w:hAnsi="方正小标宋简体" w:eastAsia="方正小标宋简体" w:cs="方正小标宋简体"/>
          <w:b w:val="0"/>
          <w:bCs/>
          <w:sz w:val="44"/>
          <w:szCs w:val="44"/>
          <w:lang w:val="en-US" w:eastAsia="zh-CN"/>
        </w:rPr>
        <w:t>9.</w:t>
      </w:r>
      <w:r>
        <w:rPr>
          <w:rFonts w:hint="eastAsia" w:ascii="方正小标宋简体" w:hAnsi="方正小标宋简体" w:eastAsia="方正小标宋简体" w:cs="方正小标宋简体"/>
          <w:b w:val="0"/>
          <w:bCs/>
          <w:sz w:val="44"/>
          <w:szCs w:val="44"/>
          <w:lang w:eastAsia="zh-CN"/>
        </w:rPr>
        <w:t>果园自然生草覆盖刈割保墒技术</w:t>
      </w:r>
    </w:p>
    <w:bookmarkEnd w:id="1"/>
    <w:p w14:paraId="4BB278D2">
      <w:pPr>
        <w:adjustRightInd w:val="0"/>
        <w:snapToGrid w:val="0"/>
        <w:spacing w:line="600" w:lineRule="exact"/>
        <w:ind w:firstLine="640" w:firstLineChars="200"/>
        <w:rPr>
          <w:rFonts w:hint="default" w:ascii="Times New Roman" w:hAnsi="Times New Roman" w:eastAsia="黑体" w:cs="Times New Roman"/>
          <w:bCs/>
          <w:color w:val="000000" w:themeColor="text1"/>
          <w:sz w:val="32"/>
          <w:szCs w:val="32"/>
          <w14:textFill>
            <w14:solidFill>
              <w14:schemeClr w14:val="tx1"/>
            </w14:solidFill>
          </w14:textFill>
        </w:rPr>
      </w:pPr>
    </w:p>
    <w:p w14:paraId="034D4AA3">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摘要：</w:t>
      </w:r>
      <w:r>
        <w:rPr>
          <w:rFonts w:hint="default" w:ascii="Times New Roman" w:hAnsi="Times New Roman" w:eastAsia="仿宋_GB2312" w:cs="Times New Roman"/>
          <w:color w:val="000000" w:themeColor="text1"/>
          <w:sz w:val="32"/>
          <w:szCs w:val="32"/>
          <w14:textFill>
            <w14:solidFill>
              <w14:schemeClr w14:val="tx1"/>
            </w14:solidFill>
          </w14:textFill>
        </w:rPr>
        <w:t>针对陕西果区多为旱作农业，传统清耕导致土壤裸露、水分蒸发快，加之化肥过量施用造成土壤退化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，造成</w:t>
      </w:r>
      <w:r>
        <w:rPr>
          <w:rFonts w:hint="default" w:ascii="Times New Roman" w:hAnsi="Times New Roman" w:eastAsia="仿宋_GB2312" w:cs="Times New Roman"/>
          <w:color w:val="000000" w:themeColor="text1"/>
          <w:sz w:val="32"/>
          <w:szCs w:val="32"/>
          <w14:textFill>
            <w14:solidFill>
              <w14:schemeClr w14:val="tx1"/>
            </w14:solidFill>
          </w14:textFill>
        </w:rPr>
        <w:t>果园土壤有机质含量低、水肥流失严重、生态功能退化等问题，该技术旨在利用自然生草覆盖抑制蒸发、增加有机质，解决干旱缺水与土壤肥力不足问题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实现保水保肥、培肥土壤、改善果园微生态的目标。此项技术是对果园土壤管理制度的一次重大变革，改变了传统的清耕观念，通过建立果园生态系统良性循环，实现生产与生态的协调发展。</w:t>
      </w:r>
    </w:p>
    <w:p w14:paraId="422FD6EF">
      <w:pPr>
        <w:adjustRightInd w:val="0"/>
        <w:snapToGrid w:val="0"/>
        <w:spacing w:line="60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一、技术概述</w:t>
      </w:r>
    </w:p>
    <w:p w14:paraId="64BFBDCA">
      <w:pPr>
        <w:snapToGrid w:val="0"/>
        <w:spacing w:line="600" w:lineRule="exact"/>
        <w:ind w:firstLine="321" w:firstLineChars="1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（一）</w:t>
      </w: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背景</w:t>
      </w:r>
      <w:r>
        <w:rPr>
          <w:rFonts w:hint="default" w:ascii="Times New Roman" w:hAnsi="Times New Roman" w:eastAsia="楷体_GB2312" w:cs="Times New Roman"/>
          <w:b/>
          <w:bCs/>
          <w:color w:val="000000" w:themeColor="text1"/>
          <w:sz w:val="32"/>
          <w:szCs w:val="32"/>
          <w14:textFill>
            <w14:solidFill>
              <w14:schemeClr w14:val="tx1"/>
            </w14:solidFill>
          </w14:textFill>
        </w:rPr>
        <w:t>情况</w:t>
      </w:r>
      <w:bookmarkStart w:id="0" w:name="_Hlk178440287"/>
      <w:r>
        <w:rPr>
          <w:rFonts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研发推广背景、</w:t>
      </w:r>
      <w:r>
        <w:rPr>
          <w:rFonts w:ascii="Times New Roman" w:hAnsi="Times New Roman" w:eastAsia="仿宋_GB2312" w:cs="Times New Roman"/>
          <w:color w:val="000000" w:themeColor="text1"/>
          <w:sz w:val="32"/>
          <w:szCs w:val="32"/>
          <w14:textFill>
            <w14:solidFill>
              <w14:schemeClr w14:val="tx1"/>
            </w14:solidFill>
          </w14:textFill>
        </w:rPr>
        <w:t>解决的主要问题等）</w:t>
      </w:r>
      <w:bookmarkEnd w:id="0"/>
    </w:p>
    <w:p w14:paraId="7CF5D0F3">
      <w:pPr>
        <w:spacing w:line="600" w:lineRule="exact"/>
        <w:ind w:firstLine="640" w:firstLineChars="200"/>
        <w:jc w:val="left"/>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陕西是我国苹果、猕猴桃等果树主产区，果园多分布于</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陕北及</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渭北旱塬、</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秦岭南北麓</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等区域，长期传统清耕模式导致土壤裸露，有机质含量普遍低于1%（优质果园需≥1.5%），板结、</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土壤</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酸化问题突出；年降水量分布不均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，南北差异较大，降雨不</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足</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500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mm</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的限制果区绿肥发展，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本技术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延安市农业科学研究院与陕西省耕地质量与农业环境保护工作站多年共同合作总结出“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果园自然生草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覆盖刈割保墒技术”，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立足</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“当地</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自然</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资源</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+人工调控</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理念，通过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就地取才、省工省钱、简便易行，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破解果园生态与生产矛盾。果园</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自然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生草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可减少</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蒸发量</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1.8倍，化肥利用率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提高5%-10%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果园</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水土流失</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减少20%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增加</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虫害</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寄宿地及天敌，以草养园的生态管理技术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25BFE8E6">
      <w:pPr>
        <w:spacing w:line="600" w:lineRule="exact"/>
        <w:ind w:firstLine="321" w:firstLineChars="1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14:textFill>
            <w14:solidFill>
              <w14:schemeClr w14:val="tx1"/>
            </w14:solidFill>
          </w14:textFill>
        </w:rPr>
        <w:t>推广应用</w:t>
      </w:r>
      <w:r>
        <w:rPr>
          <w:rFonts w:ascii="Times New Roman" w:hAnsi="Times New Roman" w:eastAsia="楷体_GB2312" w:cs="Times New Roman"/>
          <w:b/>
          <w:bCs/>
          <w:color w:val="000000" w:themeColor="text1"/>
          <w:sz w:val="32"/>
          <w:szCs w:val="32"/>
          <w14:textFill>
            <w14:solidFill>
              <w14:schemeClr w14:val="tx1"/>
            </w14:solidFill>
          </w14:textFill>
        </w:rPr>
        <w:t>情况</w:t>
      </w:r>
      <w:r>
        <w:rPr>
          <w:rFonts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近3年推广应用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区域</w:t>
      </w:r>
      <w:r>
        <w:rPr>
          <w:rFonts w:hint="default" w:ascii="Times New Roman" w:hAnsi="Times New Roman" w:eastAsia="仿宋_GB2312" w:cs="Times New Roman"/>
          <w:color w:val="000000" w:themeColor="text1"/>
          <w:sz w:val="32"/>
          <w:szCs w:val="32"/>
          <w14:textFill>
            <w14:solidFill>
              <w14:schemeClr w14:val="tx1"/>
            </w14:solidFill>
          </w14:textFill>
        </w:rPr>
        <w:t>、规模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，与国家农技推广机构合作开展试验示范推广情况</w:t>
      </w:r>
      <w:r>
        <w:rPr>
          <w:rFonts w:ascii="Times New Roman" w:hAnsi="Times New Roman" w:eastAsia="仿宋_GB2312" w:cs="Times New Roman"/>
          <w:color w:val="000000" w:themeColor="text1"/>
          <w:sz w:val="32"/>
          <w:szCs w:val="32"/>
          <w14:textFill>
            <w14:solidFill>
              <w14:schemeClr w14:val="tx1"/>
            </w14:solidFill>
          </w14:textFill>
        </w:rPr>
        <w:t>）</w:t>
      </w:r>
    </w:p>
    <w:p w14:paraId="7D80408F">
      <w:pPr>
        <w:pStyle w:val="3"/>
        <w:keepNext w:val="0"/>
        <w:keepLines w:val="0"/>
        <w:widowControl/>
        <w:suppressLineNumbers w:val="0"/>
        <w:spacing w:before="0" w:beforeAutospacing="0" w:after="144" w:afterAutospacing="0" w:line="336" w:lineRule="atLeast"/>
        <w:ind w:left="0" w:right="0"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年，技术核心推广区域为陕西渭北苹果产区（延安、咸阳、渭南）、关中猕猴桃产区（周至、眉县</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、城固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）累计推广面积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600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万亩，覆盖全省</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0%以上的规模化果园。技术依托陕西省</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绿肥生产利用技术体系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、西北农林科技大学等单位，联合</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市县</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农技推广机构建立试验示范基地</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100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个，</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制定</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陕西省地方标准《果园自然生草技术规范》（DB61/T 1965-2025）作为技术支撑，为全省推广提供了统一规范</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开展技术培训超</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场次，培训果农</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万人次，形成“</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体系平台+</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科研单位</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专家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基层果园中心</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专业</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合作社+</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果农</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”的</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五</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级推广体系。</w:t>
      </w:r>
    </w:p>
    <w:p w14:paraId="55DE3C03">
      <w:pPr>
        <w:numPr>
          <w:ilvl w:val="0"/>
          <w:numId w:val="0"/>
        </w:numPr>
        <w:snapToGrid w:val="0"/>
        <w:spacing w:line="600" w:lineRule="exact"/>
        <w:ind w:firstLine="321" w:firstLineChars="1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（三）技术效果</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增加产量、</w:t>
      </w:r>
      <w:r>
        <w:rPr>
          <w:rFonts w:ascii="Times New Roman" w:hAnsi="Times New Roman" w:eastAsia="仿宋_GB2312" w:cs="Times New Roman"/>
          <w:color w:val="000000" w:themeColor="text1"/>
          <w:sz w:val="32"/>
          <w:szCs w:val="32"/>
          <w14:textFill>
            <w14:solidFill>
              <w14:schemeClr w14:val="tx1"/>
            </w14:solidFill>
          </w14:textFill>
        </w:rPr>
        <w:t>节约成本、提升品质、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提高</w:t>
      </w:r>
      <w:r>
        <w:rPr>
          <w:rFonts w:ascii="Times New Roman" w:hAnsi="Times New Roman" w:eastAsia="仿宋_GB2312" w:cs="Times New Roman"/>
          <w:color w:val="000000" w:themeColor="text1"/>
          <w:sz w:val="32"/>
          <w:szCs w:val="32"/>
          <w14:textFill>
            <w14:solidFill>
              <w14:schemeClr w14:val="tx1"/>
            </w14:solidFill>
          </w14:textFill>
        </w:rPr>
        <w:t>效益、保护耕地与生态环保等情况）</w:t>
      </w:r>
    </w:p>
    <w:p w14:paraId="0CEF4FC4">
      <w:pPr>
        <w:numPr>
          <w:ilvl w:val="0"/>
          <w:numId w:val="0"/>
        </w:numPr>
        <w:snapToGrid w:val="0"/>
        <w:spacing w:line="600" w:lineRule="exact"/>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连续3-5年生草覆盖，土壤有机质含量显著提高。据实践数据，结合足量追施腐熟有机肥的果园，土壤有机质含量可由原来的1%增加到2%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生草覆盖后，土壤有机质年提升0.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%；生草覆盖减少除草人工成本，每亩节省除草费用约480元/年；同时节水30-50%，大大降低了果园灌溉成本；化肥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农药使用量减少20%-25%，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改善土壤结构，提高生物多样性，有效控制水土流失，自然生草处理可减少径流量81%以上，减少泥沙量99.7%以上；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生草果园果实含糖量更高、口感更佳、着色率提高，商品价值明显提升。</w:t>
      </w:r>
    </w:p>
    <w:p w14:paraId="0A22F935">
      <w:pPr>
        <w:numPr>
          <w:ilvl w:val="0"/>
          <w:numId w:val="0"/>
        </w:numPr>
        <w:adjustRightInd/>
        <w:snapToGrid w:val="0"/>
        <w:spacing w:line="600" w:lineRule="exac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（四）入选和</w:t>
      </w:r>
      <w:r>
        <w:rPr>
          <w:rFonts w:hint="default" w:ascii="Times New Roman" w:hAnsi="Times New Roman" w:eastAsia="楷体_GB2312" w:cs="Times New Roman"/>
          <w:b/>
          <w:bCs/>
          <w:color w:val="000000" w:themeColor="text1"/>
          <w:sz w:val="32"/>
          <w:szCs w:val="32"/>
          <w14:textFill>
            <w14:solidFill>
              <w14:schemeClr w14:val="tx1"/>
            </w14:solidFill>
          </w14:textFill>
        </w:rPr>
        <w:t>获奖情况</w:t>
      </w:r>
    </w:p>
    <w:p w14:paraId="3E1D2040">
      <w:pPr>
        <w:pStyle w:val="2"/>
        <w:keepNext w:val="0"/>
        <w:keepLines w:val="0"/>
        <w:widowControl/>
        <w:numPr>
          <w:ilvl w:val="0"/>
          <w:numId w:val="0"/>
        </w:numPr>
        <w:suppressLineNumbers w:val="0"/>
        <w:spacing w:before="0" w:beforeAutospacing="0" w:after="105" w:afterAutospacing="0" w:line="336" w:lineRule="atLeast"/>
        <w:ind w:firstLine="640" w:firstLineChars="200"/>
        <w:outlineLvl w:val="3"/>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果园自然生草列入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陕西省</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“十四五”</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果业高质量发展</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规划，“渭北及陕北苹果园生草轻简化栽培模式”</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获2021年陕西省</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农业技术推广成果</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二等奖；</w:t>
      </w:r>
    </w:p>
    <w:p w14:paraId="00874FEC">
      <w:pPr>
        <w:numPr>
          <w:ilvl w:val="0"/>
          <w:numId w:val="0"/>
        </w:numPr>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二、</w:t>
      </w:r>
      <w:r>
        <w:rPr>
          <w:rFonts w:ascii="Times New Roman" w:hAnsi="Times New Roman" w:eastAsia="黑体" w:cs="Times New Roman"/>
          <w:color w:val="000000" w:themeColor="text1"/>
          <w:sz w:val="32"/>
          <w:szCs w:val="32"/>
          <w14:textFill>
            <w14:solidFill>
              <w14:schemeClr w14:val="tx1"/>
            </w14:solidFill>
          </w14:textFill>
        </w:rPr>
        <w:t>技术</w:t>
      </w:r>
      <w:r>
        <w:rPr>
          <w:rFonts w:hint="eastAsia" w:ascii="Times New Roman" w:hAnsi="Times New Roman" w:eastAsia="黑体" w:cs="Times New Roman"/>
          <w:color w:val="000000" w:themeColor="text1"/>
          <w:sz w:val="32"/>
          <w:szCs w:val="32"/>
          <w:lang w:eastAsia="zh-CN"/>
          <w14:textFill>
            <w14:solidFill>
              <w14:schemeClr w14:val="tx1"/>
            </w14:solidFill>
          </w14:textFill>
        </w:rPr>
        <w:t>要点</w:t>
      </w:r>
      <w:r>
        <w:rPr>
          <w:rFonts w:hint="default" w:ascii="Times New Roman" w:hAnsi="Times New Roman" w:eastAsia="仿宋_GB2312" w:cs="Times New Roman"/>
          <w:color w:val="000000" w:themeColor="text1"/>
          <w:sz w:val="32"/>
          <w:szCs w:val="32"/>
          <w14:textFill>
            <w14:solidFill>
              <w14:schemeClr w14:val="tx1"/>
            </w14:solidFill>
          </w14:textFill>
        </w:rPr>
        <w:t>（核心技术及其配套技术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主要内容）</w:t>
      </w:r>
    </w:p>
    <w:p w14:paraId="46FFBC82">
      <w:pPr>
        <w:pStyle w:val="3"/>
        <w:keepNext w:val="0"/>
        <w:keepLines w:val="0"/>
        <w:widowControl/>
        <w:suppressLineNumbers w:val="0"/>
        <w:spacing w:before="0" w:beforeAutospacing="0" w:after="0" w:afterAutospacing="0" w:line="336" w:lineRule="atLeast"/>
        <w:ind w:left="720" w:right="0"/>
        <w:rPr>
          <w:sz w:val="32"/>
          <w:szCs w:val="32"/>
        </w:rPr>
      </w:pPr>
      <w:r>
        <w:rPr>
          <w:rStyle w:val="6"/>
          <w:rFonts w:hint="eastAsia" w:ascii="Segoe UI" w:hAnsi="Segoe UI" w:eastAsia="宋体" w:cs="Segoe UI"/>
          <w:b/>
          <w:bCs/>
          <w:i w:val="0"/>
          <w:iCs w:val="0"/>
          <w:caps w:val="0"/>
          <w:color w:val="222222"/>
          <w:spacing w:val="0"/>
          <w:sz w:val="32"/>
          <w:szCs w:val="32"/>
          <w:u w:val="none"/>
          <w:shd w:val="clear" w:fill="FFFFFF"/>
          <w:lang w:eastAsia="zh-CN"/>
        </w:rPr>
        <w:t>（一）</w:t>
      </w:r>
      <w:r>
        <w:rPr>
          <w:rStyle w:val="6"/>
          <w:rFonts w:hint="default" w:ascii="Segoe UI" w:hAnsi="Segoe UI" w:eastAsia="Segoe UI" w:cs="Segoe UI"/>
          <w:b/>
          <w:bCs/>
          <w:i w:val="0"/>
          <w:iCs w:val="0"/>
          <w:caps w:val="0"/>
          <w:color w:val="222222"/>
          <w:spacing w:val="0"/>
          <w:sz w:val="32"/>
          <w:szCs w:val="32"/>
          <w:u w:val="none"/>
          <w:shd w:val="clear" w:fill="FFFFFF"/>
        </w:rPr>
        <w:t>自然生草管理</w:t>
      </w:r>
      <w:r>
        <w:rPr>
          <w:rFonts w:hint="default" w:ascii="Segoe UI" w:hAnsi="Segoe UI" w:eastAsia="Segoe UI" w:cs="Segoe UI"/>
          <w:i w:val="0"/>
          <w:iCs w:val="0"/>
          <w:caps w:val="0"/>
          <w:color w:val="222222"/>
          <w:spacing w:val="0"/>
          <w:sz w:val="32"/>
          <w:szCs w:val="32"/>
          <w:shd w:val="clear" w:fill="FFFFFF"/>
        </w:rPr>
        <w:t>：</w:t>
      </w:r>
    </w:p>
    <w:p w14:paraId="14C09264">
      <w:pPr>
        <w:numPr>
          <w:ilvl w:val="0"/>
          <w:numId w:val="0"/>
        </w:numPr>
        <w:adjustRightInd/>
        <w:snapToGrid w:val="0"/>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生草品种：保留果园自然萌发的马唐、牛筋草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、蘩楼（飞机草）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等本地杂草，避免高秆、藤蔓类恶性杂草（如苋菜、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水花生、牵牛、小蓬草等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7B101EC">
      <w:pPr>
        <w:numPr>
          <w:ilvl w:val="0"/>
          <w:numId w:val="0"/>
        </w:numPr>
        <w:adjustRightInd/>
        <w:snapToGrid w:val="0"/>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生草带设置：幼龄果园留草带宽1.5m-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2cm</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（树盘外），成龄果园全覆盖（树干周围50cm内清耕）。</w:t>
      </w:r>
    </w:p>
    <w:p w14:paraId="686A2EAA">
      <w:pPr>
        <w:pStyle w:val="3"/>
        <w:keepNext w:val="0"/>
        <w:keepLines w:val="0"/>
        <w:widowControl/>
        <w:suppressLineNumbers w:val="0"/>
        <w:spacing w:before="0" w:beforeAutospacing="0" w:after="0" w:afterAutospacing="0" w:line="336" w:lineRule="atLeast"/>
        <w:ind w:left="720" w:right="0"/>
        <w:rPr>
          <w:sz w:val="32"/>
          <w:szCs w:val="32"/>
        </w:rPr>
      </w:pPr>
      <w:r>
        <w:rPr>
          <w:rStyle w:val="6"/>
          <w:rFonts w:hint="eastAsia" w:ascii="Segoe UI" w:hAnsi="Segoe UI" w:eastAsia="宋体" w:cs="Segoe UI"/>
          <w:b/>
          <w:bCs/>
          <w:i w:val="0"/>
          <w:iCs w:val="0"/>
          <w:caps w:val="0"/>
          <w:color w:val="222222"/>
          <w:spacing w:val="0"/>
          <w:sz w:val="32"/>
          <w:szCs w:val="32"/>
          <w:u w:val="none"/>
          <w:shd w:val="clear" w:fill="FFFFFF"/>
          <w:lang w:eastAsia="zh-CN"/>
        </w:rPr>
        <w:t>（二）</w:t>
      </w:r>
      <w:r>
        <w:rPr>
          <w:rStyle w:val="6"/>
          <w:rFonts w:hint="default" w:ascii="Segoe UI" w:hAnsi="Segoe UI" w:eastAsia="Segoe UI" w:cs="Segoe UI"/>
          <w:b/>
          <w:bCs/>
          <w:i w:val="0"/>
          <w:iCs w:val="0"/>
          <w:caps w:val="0"/>
          <w:color w:val="222222"/>
          <w:spacing w:val="0"/>
          <w:sz w:val="32"/>
          <w:szCs w:val="32"/>
          <w:u w:val="none"/>
          <w:shd w:val="clear" w:fill="FFFFFF"/>
        </w:rPr>
        <w:t>刈割与覆盖技术</w:t>
      </w:r>
      <w:r>
        <w:rPr>
          <w:rFonts w:hint="default" w:ascii="Segoe UI" w:hAnsi="Segoe UI" w:eastAsia="Segoe UI" w:cs="Segoe UI"/>
          <w:i w:val="0"/>
          <w:iCs w:val="0"/>
          <w:caps w:val="0"/>
          <w:color w:val="222222"/>
          <w:spacing w:val="0"/>
          <w:sz w:val="32"/>
          <w:szCs w:val="32"/>
          <w:shd w:val="clear" w:fill="FFFFFF"/>
        </w:rPr>
        <w:t>：</w:t>
      </w:r>
    </w:p>
    <w:p w14:paraId="59833286">
      <w:pPr>
        <w:numPr>
          <w:ilvl w:val="0"/>
          <w:numId w:val="0"/>
        </w:numPr>
        <w:adjustRightInd/>
        <w:snapToGrid w:val="0"/>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当草长到30-40厘米时及时刈割，每年刈割3-5次，刈割后覆盖在树盘上。刈割时应留茬2.5-3厘米，以利于再生。猕猴桃果园可采用春夏秋季一年生杂草和果园地面刈割覆盖结合方式，延长杂草绿色部分覆盖地面时间，促使更多的绿色野生杂草腐烂物进入土壤，以提高土壤有机质。</w:t>
      </w:r>
    </w:p>
    <w:p w14:paraId="7A07AEB9">
      <w:pPr>
        <w:numPr>
          <w:ilvl w:val="0"/>
          <w:numId w:val="0"/>
        </w:numPr>
        <w:adjustRightInd/>
        <w:snapToGrid w:val="0"/>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刈割时期：当草高30-40cm时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及时刈割，一般割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2-3次，保持果园草高不超过30cm，立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停止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刈割任其自然死亡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，留茬高度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cm；</w:t>
      </w:r>
    </w:p>
    <w:p w14:paraId="401F8F2E">
      <w:pPr>
        <w:numPr>
          <w:ilvl w:val="0"/>
          <w:numId w:val="0"/>
        </w:numPr>
        <w:adjustRightInd/>
        <w:snapToGrid w:val="0"/>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覆盖方式：刈割后将草屑均匀覆盖于树盘或行间，厚度5-8cm，避免堆积树干基部引发病害。</w:t>
      </w:r>
    </w:p>
    <w:p w14:paraId="377ECD9E">
      <w:pPr>
        <w:numPr>
          <w:ilvl w:val="0"/>
          <w:numId w:val="0"/>
        </w:numPr>
        <w:adjustRightInd/>
        <w:snapToGrid w:val="0"/>
        <w:spacing w:line="600" w:lineRule="exact"/>
        <w:ind w:firstLine="643"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Style w:val="6"/>
          <w:rFonts w:hint="eastAsia" w:ascii="Segoe UI" w:hAnsi="Segoe UI" w:eastAsia="宋体" w:cs="Segoe UI"/>
          <w:b/>
          <w:bCs/>
          <w:i w:val="0"/>
          <w:iCs w:val="0"/>
          <w:caps w:val="0"/>
          <w:color w:val="222222"/>
          <w:spacing w:val="0"/>
          <w:sz w:val="32"/>
          <w:szCs w:val="32"/>
          <w:u w:val="none"/>
          <w:shd w:val="clear" w:fill="FFFFFF"/>
          <w:lang w:eastAsia="zh-CN"/>
        </w:rPr>
        <w:t>（三）</w:t>
      </w:r>
      <w:r>
        <w:rPr>
          <w:rStyle w:val="6"/>
          <w:rFonts w:hint="default" w:ascii="Segoe UI" w:hAnsi="Segoe UI" w:eastAsia="Segoe UI" w:cs="Segoe UI"/>
          <w:b/>
          <w:bCs/>
          <w:i w:val="0"/>
          <w:iCs w:val="0"/>
          <w:caps w:val="0"/>
          <w:color w:val="222222"/>
          <w:spacing w:val="0"/>
          <w:sz w:val="32"/>
          <w:szCs w:val="32"/>
          <w:u w:val="none"/>
          <w:shd w:val="clear" w:fill="FFFFFF"/>
        </w:rPr>
        <w:t>配套管理措施</w:t>
      </w:r>
      <w:r>
        <w:rPr>
          <w:rFonts w:hint="default" w:ascii="Segoe UI" w:hAnsi="Segoe UI" w:eastAsia="Segoe UI" w:cs="Segoe UI"/>
          <w:i w:val="0"/>
          <w:iCs w:val="0"/>
          <w:caps w:val="0"/>
          <w:color w:val="222222"/>
          <w:spacing w:val="0"/>
          <w:sz w:val="32"/>
          <w:szCs w:val="32"/>
          <w:shd w:val="clear" w:fill="FFFFFF"/>
        </w:rPr>
        <w:t>：</w:t>
      </w:r>
    </w:p>
    <w:p w14:paraId="689695D0">
      <w:pPr>
        <w:numPr>
          <w:ilvl w:val="0"/>
          <w:numId w:val="0"/>
        </w:numPr>
        <w:adjustRightInd/>
        <w:snapToGrid w:val="0"/>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水肥协同：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刈割后雨天可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增施氮肥（尿素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1.5-2kg</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/亩）避免草树争肥，刈割后结合灌溉追施有机肥；</w:t>
      </w:r>
    </w:p>
    <w:p w14:paraId="38513CF8">
      <w:pPr>
        <w:numPr>
          <w:ilvl w:val="0"/>
          <w:numId w:val="0"/>
        </w:numPr>
        <w:adjustRightInd/>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病虫害防控：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药物防治：与果园管理防治用药相结合，生物防治：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生草区采用物理诱控（杀虫灯、黄板）与生物防治（释放瓢虫、捕食螨）结合，禁用广谱性除草剂。</w:t>
      </w:r>
    </w:p>
    <w:p w14:paraId="67F694FA">
      <w:pPr>
        <w:numPr>
          <w:ilvl w:val="0"/>
          <w:numId w:val="0"/>
        </w:num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适宜区域</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适宜</w:t>
      </w:r>
      <w:r>
        <w:rPr>
          <w:rFonts w:hint="default" w:ascii="Times New Roman" w:hAnsi="Times New Roman" w:eastAsia="仿宋_GB2312" w:cs="Times New Roman"/>
          <w:color w:val="000000" w:themeColor="text1"/>
          <w:sz w:val="32"/>
          <w:szCs w:val="32"/>
          <w14:textFill>
            <w14:solidFill>
              <w14:schemeClr w14:val="tx1"/>
            </w14:solidFill>
          </w14:textFill>
        </w:rPr>
        <w:t>推广应用的主要区域）</w:t>
      </w:r>
    </w:p>
    <w:p w14:paraId="187A0908">
      <w:pPr>
        <w:numPr>
          <w:ilvl w:val="0"/>
          <w:numId w:val="0"/>
        </w:num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适宜在陕西省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陕北、</w:t>
      </w:r>
      <w:r>
        <w:rPr>
          <w:rFonts w:hint="default" w:ascii="Times New Roman" w:hAnsi="Times New Roman" w:eastAsia="仿宋_GB2312" w:cs="Times New Roman"/>
          <w:color w:val="000000" w:themeColor="text1"/>
          <w:sz w:val="32"/>
          <w:szCs w:val="32"/>
          <w14:textFill>
            <w14:solidFill>
              <w14:schemeClr w14:val="tx1"/>
            </w14:solidFill>
          </w14:textFill>
        </w:rPr>
        <w:t>渭北旱塬苹果产区、关中猕猴桃/葡萄产区推广，也可应用于甘肃、山西、宁夏等北方干旱半干旱地区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同维度区域果园</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9BE28D0">
      <w:pPr>
        <w:adjustRightInd w:val="0"/>
        <w:snapToGrid w:val="0"/>
        <w:spacing w:line="60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注意事项</w:t>
      </w:r>
      <w:r>
        <w:rPr>
          <w:rFonts w:hint="default" w:ascii="Times New Roman" w:hAnsi="Times New Roman" w:eastAsia="仿宋_GB2312" w:cs="Times New Roman"/>
          <w:color w:val="000000" w:themeColor="text1"/>
          <w:sz w:val="32"/>
          <w:szCs w:val="32"/>
          <w14:textFill>
            <w14:solidFill>
              <w14:schemeClr w14:val="tx1"/>
            </w14:solidFill>
          </w14:textFill>
        </w:rPr>
        <w:t>（在推广应用过程中需特别注意的环节）</w:t>
      </w:r>
    </w:p>
    <w:p w14:paraId="613F606D">
      <w:pPr>
        <w:numPr>
          <w:ilvl w:val="0"/>
          <w:numId w:val="0"/>
        </w:num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草种控制：定期清除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灰藜草、冰草、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刺儿菜、苣荬菜等深根性杂草，防止与果树竞争水肥；</w:t>
      </w:r>
    </w:p>
    <w:p w14:paraId="565DE70A">
      <w:pPr>
        <w:snapToGrid w:val="0"/>
        <w:spacing w:line="60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 刈割时间避开果树花期和幼果期，以防影响授粉和果实发育；</w:t>
      </w:r>
    </w:p>
    <w:p w14:paraId="7AD4AC0D">
      <w:pPr>
        <w:snapToGrid w:val="0"/>
        <w:spacing w:line="60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 病虫害高发期及时清理病残草体，减少虫源滋生。</w:t>
      </w:r>
    </w:p>
    <w:p w14:paraId="0F30A648">
      <w:pPr>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技术依托单位</w:t>
      </w:r>
    </w:p>
    <w:p w14:paraId="5867CF3A">
      <w:pPr>
        <w:adjustRightInd w:val="0"/>
        <w:snapToGrid w:val="0"/>
        <w:spacing w:line="600" w:lineRule="exact"/>
        <w:ind w:firstLine="643" w:firstLineChars="200"/>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（一）</w:t>
      </w:r>
      <w:r>
        <w:rPr>
          <w:rFonts w:hint="eastAsia" w:ascii="Times New Roman" w:hAnsi="Times New Roman" w:eastAsia="楷体_GB2312" w:cs="Times New Roman"/>
          <w:b/>
          <w:bCs/>
          <w:color w:val="000000" w:themeColor="text1"/>
          <w:sz w:val="32"/>
          <w:szCs w:val="32"/>
          <w14:textFill>
            <w14:solidFill>
              <w14:schemeClr w14:val="tx1"/>
            </w14:solidFill>
          </w14:textFill>
        </w:rPr>
        <w:t>单位名称</w:t>
      </w: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：延安市农业科学研究所</w:t>
      </w:r>
    </w:p>
    <w:p w14:paraId="2185D151">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联系地址：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延安市宝塔区马家湾慧泽路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2号</w:t>
      </w:r>
    </w:p>
    <w:p w14:paraId="25BBE3D3">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邮政编码：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716000</w:t>
      </w:r>
    </w:p>
    <w:p w14:paraId="3A211624">
      <w:p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 系 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段志龙</w:t>
      </w:r>
    </w:p>
    <w:p w14:paraId="6B7AD56B">
      <w:p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18691166093</w:t>
      </w:r>
    </w:p>
    <w:p w14:paraId="0C46FD7E">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电子邮箱：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2969475317@qq.com</w:t>
      </w:r>
    </w:p>
    <w:p w14:paraId="1D214579">
      <w:pPr>
        <w:numPr>
          <w:ilvl w:val="0"/>
          <w:numId w:val="0"/>
        </w:numPr>
        <w:adjustRightInd w:val="0"/>
        <w:snapToGrid w:val="0"/>
        <w:spacing w:line="60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14:textFill>
            <w14:solidFill>
              <w14:schemeClr w14:val="tx1"/>
            </w14:solidFill>
          </w14:textFill>
        </w:rPr>
        <w:t>单位名称</w:t>
      </w: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陕西省耕地质量与农业环境保护工作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站</w:t>
      </w:r>
    </w:p>
    <w:p w14:paraId="37BEE582">
      <w:p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联系地址:西安市莲湖区习武园</w:t>
      </w:r>
    </w:p>
    <w:p w14:paraId="05C53E68">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邮政编码:710000</w:t>
      </w:r>
    </w:p>
    <w:p w14:paraId="3BFFCC87">
      <w:p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联 系 人:王晨光</w:t>
      </w:r>
    </w:p>
    <w:p w14:paraId="2CA4FF1D">
      <w:p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联系电话：13488460620</w:t>
      </w:r>
    </w:p>
    <w:p w14:paraId="61BAB7B9">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电子信箱:350996908@qq.com </w:t>
      </w:r>
    </w:p>
    <w:p w14:paraId="6AAE6DE5">
      <w:pPr>
        <w:adjustRightInd/>
        <w:snapToGrid/>
        <w:spacing w:line="600" w:lineRule="exact"/>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C43AC"/>
    <w:rsid w:val="04F9632B"/>
    <w:rsid w:val="22BE2B0E"/>
    <w:rsid w:val="345B34A8"/>
    <w:rsid w:val="48E6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paragraph" w:customStyle="1" w:styleId="7">
    <w:name w:val="Heading #3|1"/>
    <w:basedOn w:val="1"/>
    <w:qFormat/>
    <w:uiPriority w:val="0"/>
    <w:pPr>
      <w:spacing w:after="490"/>
      <w:jc w:val="center"/>
      <w:outlineLvl w:val="2"/>
    </w:pPr>
    <w:rPr>
      <w:rFonts w:ascii="宋体" w:hAnsi="宋体" w:eastAsia="宋体" w:cs="宋体"/>
      <w:sz w:val="34"/>
      <w:szCs w:val="34"/>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1942</Words>
  <Characters>2142</Characters>
  <Lines>0</Lines>
  <Paragraphs>0</Paragraphs>
  <TotalTime>1</TotalTime>
  <ScaleCrop>false</ScaleCrop>
  <LinksUpToDate>false</LinksUpToDate>
  <CharactersWithSpaces>2150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2025-11-23T03:48:00Z</dcterms:created>
  <dc:creator>Administrator</dc:creator>
  <cp:lastModifiedBy>杜勇</cp:lastModifiedBy>
  <dcterms:modified xsi:type="dcterms:W3CDTF">2026-01-06T10:10:20Z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eyJoZGlkIjoiMzg2YmRjNzFjMjY4Y2FkZmU1YjljNWU5OWM0OWFkYTciLCJ1c2VySWQiOiIxNjg4MzgxMzI1In0=</vt:lpwstr>
  </property>
  <property fmtid="{D5CDD505-2E9C-101B-9397-08002B2CF9AE}" pid="4" name="ICV">
    <vt:lpwstr>0CD7656013B04826BFAFA1BE22760CB6_12</vt:lpwstr>
  </property>
</Properties>
</file>